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D078A" w14:textId="77777777" w:rsidR="00EC09F5" w:rsidRDefault="00EC09F5">
      <w:pPr>
        <w:rPr>
          <w:rFonts w:ascii="Arial" w:eastAsia="Arial" w:hAnsi="Arial" w:cs="Arial"/>
          <w:b/>
          <w:sz w:val="36"/>
          <w:szCs w:val="36"/>
        </w:rPr>
      </w:pPr>
    </w:p>
    <w:p w14:paraId="2C570E8D" w14:textId="77777777" w:rsidR="00EC09F5" w:rsidRDefault="00035912">
      <w:pPr>
        <w:rPr>
          <w:rFonts w:ascii="Arial" w:eastAsia="Arial" w:hAnsi="Arial" w:cs="Arial"/>
          <w:sz w:val="36"/>
          <w:szCs w:val="36"/>
        </w:rPr>
      </w:pPr>
      <w:r>
        <w:rPr>
          <w:rFonts w:ascii="Arial" w:eastAsia="Arial" w:hAnsi="Arial" w:cs="Arial"/>
          <w:b/>
          <w:sz w:val="36"/>
          <w:szCs w:val="36"/>
        </w:rPr>
        <w:t>Order Schedule 20 (Order Specification)</w:t>
      </w:r>
      <w:r>
        <w:rPr>
          <w:rFonts w:ascii="Arial" w:eastAsia="Arial" w:hAnsi="Arial" w:cs="Arial"/>
          <w:sz w:val="36"/>
          <w:szCs w:val="36"/>
        </w:rPr>
        <w:t xml:space="preserve"> </w:t>
      </w:r>
    </w:p>
    <w:p w14:paraId="22D613C3" w14:textId="77777777" w:rsidR="00EC09F5" w:rsidRDefault="00035912">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Order Contract</w:t>
      </w:r>
    </w:p>
    <w:p w14:paraId="09C0DFD5" w14:textId="77777777" w:rsidR="00EC09F5" w:rsidRDefault="00EC09F5">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4757A680" w14:textId="77777777" w:rsidR="00EC09F5" w:rsidRDefault="00EC09F5">
      <w:pPr>
        <w:spacing w:after="0" w:line="240" w:lineRule="auto"/>
        <w:jc w:val="center"/>
        <w:rPr>
          <w:rFonts w:ascii="Arial" w:eastAsia="Arial" w:hAnsi="Arial" w:cs="Arial"/>
          <w:b/>
        </w:rPr>
      </w:pPr>
    </w:p>
    <w:p w14:paraId="089B5837" w14:textId="77777777" w:rsidR="00EC09F5" w:rsidRDefault="00EC09F5">
      <w:pPr>
        <w:spacing w:after="0" w:line="240" w:lineRule="auto"/>
        <w:jc w:val="center"/>
        <w:rPr>
          <w:rFonts w:ascii="Arial" w:eastAsia="Arial" w:hAnsi="Arial" w:cs="Arial"/>
          <w:b/>
        </w:rPr>
      </w:pPr>
    </w:p>
    <w:p w14:paraId="4A93F60B" w14:textId="77777777" w:rsidR="00EC09F5" w:rsidRDefault="00EC09F5">
      <w:pPr>
        <w:spacing w:after="0" w:line="240" w:lineRule="auto"/>
        <w:jc w:val="center"/>
        <w:rPr>
          <w:rFonts w:ascii="Arial" w:eastAsia="Arial" w:hAnsi="Arial" w:cs="Arial"/>
          <w:b/>
        </w:rPr>
      </w:pPr>
    </w:p>
    <w:p w14:paraId="2952E973" w14:textId="77777777" w:rsidR="00EC09F5" w:rsidRDefault="00EC09F5">
      <w:pPr>
        <w:spacing w:after="0" w:line="240" w:lineRule="auto"/>
        <w:jc w:val="center"/>
        <w:rPr>
          <w:rFonts w:ascii="Arial" w:eastAsia="Arial" w:hAnsi="Arial" w:cs="Arial"/>
          <w:b/>
        </w:rPr>
      </w:pPr>
    </w:p>
    <w:p w14:paraId="6CD2B85E" w14:textId="77777777" w:rsidR="00EC09F5" w:rsidRDefault="00EC09F5">
      <w:pPr>
        <w:spacing w:after="0" w:line="240" w:lineRule="auto"/>
        <w:jc w:val="center"/>
        <w:rPr>
          <w:rFonts w:ascii="Arial" w:eastAsia="Arial" w:hAnsi="Arial" w:cs="Arial"/>
          <w:b/>
        </w:rPr>
      </w:pPr>
    </w:p>
    <w:p w14:paraId="6AF7D4F3" w14:textId="77777777" w:rsidR="00EC09F5" w:rsidRDefault="00EC09F5">
      <w:pPr>
        <w:spacing w:after="0" w:line="240" w:lineRule="auto"/>
        <w:jc w:val="center"/>
        <w:rPr>
          <w:rFonts w:ascii="Arial" w:eastAsia="Arial" w:hAnsi="Arial" w:cs="Arial"/>
          <w:b/>
        </w:rPr>
      </w:pPr>
    </w:p>
    <w:p w14:paraId="40B15035" w14:textId="77777777" w:rsidR="00EC09F5" w:rsidRDefault="00EC09F5">
      <w:pPr>
        <w:spacing w:after="0" w:line="240" w:lineRule="auto"/>
        <w:jc w:val="center"/>
        <w:rPr>
          <w:rFonts w:ascii="Arial" w:eastAsia="Arial" w:hAnsi="Arial" w:cs="Arial"/>
          <w:b/>
        </w:rPr>
      </w:pPr>
    </w:p>
    <w:p w14:paraId="6D5EEAAD" w14:textId="77777777" w:rsidR="00EC09F5" w:rsidRDefault="00EC09F5">
      <w:pPr>
        <w:spacing w:after="0" w:line="240" w:lineRule="auto"/>
        <w:jc w:val="center"/>
        <w:rPr>
          <w:rFonts w:ascii="Arial" w:eastAsia="Arial" w:hAnsi="Arial" w:cs="Arial"/>
          <w:b/>
        </w:rPr>
      </w:pPr>
    </w:p>
    <w:p w14:paraId="6D5DDE7D" w14:textId="77777777" w:rsidR="00EC09F5" w:rsidRDefault="00EC09F5">
      <w:pPr>
        <w:spacing w:after="0" w:line="240" w:lineRule="auto"/>
        <w:jc w:val="center"/>
        <w:rPr>
          <w:rFonts w:ascii="Arial" w:eastAsia="Arial" w:hAnsi="Arial" w:cs="Arial"/>
          <w:b/>
        </w:rPr>
      </w:pPr>
    </w:p>
    <w:p w14:paraId="452D5420" w14:textId="77777777" w:rsidR="00EC09F5" w:rsidRDefault="00EC09F5">
      <w:pPr>
        <w:spacing w:after="0" w:line="240" w:lineRule="auto"/>
        <w:jc w:val="center"/>
        <w:rPr>
          <w:rFonts w:ascii="Arial" w:eastAsia="Arial" w:hAnsi="Arial" w:cs="Arial"/>
          <w:b/>
        </w:rPr>
      </w:pPr>
    </w:p>
    <w:p w14:paraId="77012D0F" w14:textId="77777777" w:rsidR="00EC09F5" w:rsidRDefault="00EC09F5">
      <w:pPr>
        <w:spacing w:after="0" w:line="240" w:lineRule="auto"/>
        <w:jc w:val="center"/>
        <w:rPr>
          <w:rFonts w:ascii="Arial" w:eastAsia="Arial" w:hAnsi="Arial" w:cs="Arial"/>
          <w:b/>
        </w:rPr>
      </w:pPr>
    </w:p>
    <w:p w14:paraId="032A85B3" w14:textId="77777777" w:rsidR="00EC09F5" w:rsidRDefault="00EC09F5">
      <w:pPr>
        <w:spacing w:after="0" w:line="240" w:lineRule="auto"/>
        <w:jc w:val="center"/>
        <w:rPr>
          <w:rFonts w:ascii="Arial" w:eastAsia="Arial" w:hAnsi="Arial" w:cs="Arial"/>
          <w:b/>
        </w:rPr>
      </w:pPr>
    </w:p>
    <w:p w14:paraId="1157D136" w14:textId="77777777" w:rsidR="00EC09F5" w:rsidRDefault="00EC09F5">
      <w:pPr>
        <w:spacing w:after="0" w:line="240" w:lineRule="auto"/>
        <w:jc w:val="center"/>
        <w:rPr>
          <w:rFonts w:ascii="Arial" w:eastAsia="Arial" w:hAnsi="Arial" w:cs="Arial"/>
          <w:b/>
        </w:rPr>
      </w:pPr>
    </w:p>
    <w:p w14:paraId="7101CC66" w14:textId="77777777" w:rsidR="00EC09F5" w:rsidRDefault="00EC09F5">
      <w:pPr>
        <w:spacing w:after="0" w:line="240" w:lineRule="auto"/>
        <w:jc w:val="center"/>
        <w:rPr>
          <w:rFonts w:ascii="Arial" w:eastAsia="Arial" w:hAnsi="Arial" w:cs="Arial"/>
          <w:b/>
        </w:rPr>
      </w:pPr>
    </w:p>
    <w:p w14:paraId="6D0B5658" w14:textId="77777777" w:rsidR="00EC09F5" w:rsidRDefault="00EC09F5">
      <w:pPr>
        <w:spacing w:after="0" w:line="240" w:lineRule="auto"/>
        <w:jc w:val="center"/>
        <w:rPr>
          <w:rFonts w:ascii="Arial" w:eastAsia="Arial" w:hAnsi="Arial" w:cs="Arial"/>
          <w:b/>
        </w:rPr>
      </w:pPr>
    </w:p>
    <w:p w14:paraId="66FC6062" w14:textId="77777777" w:rsidR="00EC09F5" w:rsidRDefault="00EC09F5">
      <w:pPr>
        <w:spacing w:after="0" w:line="240" w:lineRule="auto"/>
        <w:jc w:val="center"/>
        <w:rPr>
          <w:rFonts w:ascii="Arial" w:eastAsia="Arial" w:hAnsi="Arial" w:cs="Arial"/>
          <w:b/>
        </w:rPr>
      </w:pPr>
    </w:p>
    <w:p w14:paraId="7B0A7786" w14:textId="77777777" w:rsidR="00EC09F5" w:rsidRDefault="00EC09F5">
      <w:pPr>
        <w:spacing w:after="0" w:line="240" w:lineRule="auto"/>
        <w:jc w:val="center"/>
        <w:rPr>
          <w:rFonts w:ascii="Arial" w:eastAsia="Arial" w:hAnsi="Arial" w:cs="Arial"/>
          <w:b/>
        </w:rPr>
      </w:pPr>
    </w:p>
    <w:p w14:paraId="5B984D68" w14:textId="77777777" w:rsidR="00EC09F5" w:rsidRDefault="00EC09F5">
      <w:pPr>
        <w:spacing w:after="0" w:line="240" w:lineRule="auto"/>
        <w:jc w:val="center"/>
        <w:rPr>
          <w:rFonts w:ascii="Arial" w:eastAsia="Arial" w:hAnsi="Arial" w:cs="Arial"/>
          <w:b/>
        </w:rPr>
      </w:pPr>
    </w:p>
    <w:p w14:paraId="7CDE8730" w14:textId="77777777" w:rsidR="00EC09F5" w:rsidRDefault="00EC09F5">
      <w:pPr>
        <w:spacing w:after="0" w:line="240" w:lineRule="auto"/>
        <w:jc w:val="center"/>
        <w:rPr>
          <w:rFonts w:ascii="Arial" w:eastAsia="Arial" w:hAnsi="Arial" w:cs="Arial"/>
          <w:b/>
        </w:rPr>
      </w:pPr>
    </w:p>
    <w:p w14:paraId="7FF538AA" w14:textId="77777777" w:rsidR="00EC09F5" w:rsidRDefault="00EC09F5">
      <w:pPr>
        <w:spacing w:after="0" w:line="240" w:lineRule="auto"/>
        <w:jc w:val="center"/>
        <w:rPr>
          <w:rFonts w:ascii="Arial" w:eastAsia="Arial" w:hAnsi="Arial" w:cs="Arial"/>
          <w:b/>
        </w:rPr>
      </w:pPr>
    </w:p>
    <w:p w14:paraId="7D8BD840" w14:textId="77777777" w:rsidR="00EC09F5" w:rsidRDefault="00EC09F5">
      <w:pPr>
        <w:spacing w:after="0" w:line="240" w:lineRule="auto"/>
        <w:jc w:val="center"/>
        <w:rPr>
          <w:rFonts w:ascii="Arial" w:eastAsia="Arial" w:hAnsi="Arial" w:cs="Arial"/>
          <w:b/>
        </w:rPr>
      </w:pPr>
    </w:p>
    <w:p w14:paraId="78F4113F" w14:textId="77777777" w:rsidR="00EC09F5" w:rsidRDefault="00EC09F5">
      <w:pPr>
        <w:spacing w:after="0" w:line="240" w:lineRule="auto"/>
        <w:jc w:val="center"/>
        <w:rPr>
          <w:rFonts w:ascii="Arial" w:eastAsia="Arial" w:hAnsi="Arial" w:cs="Arial"/>
          <w:b/>
        </w:rPr>
      </w:pPr>
    </w:p>
    <w:p w14:paraId="4646A3C9" w14:textId="77777777" w:rsidR="00EC09F5" w:rsidRDefault="00EC09F5">
      <w:pPr>
        <w:spacing w:after="0" w:line="240" w:lineRule="auto"/>
        <w:jc w:val="center"/>
        <w:rPr>
          <w:rFonts w:ascii="Arial" w:eastAsia="Arial" w:hAnsi="Arial" w:cs="Arial"/>
          <w:b/>
        </w:rPr>
      </w:pPr>
    </w:p>
    <w:p w14:paraId="1F062047" w14:textId="77777777" w:rsidR="00EC09F5" w:rsidRDefault="00EC09F5">
      <w:pPr>
        <w:spacing w:after="0" w:line="240" w:lineRule="auto"/>
        <w:jc w:val="center"/>
        <w:rPr>
          <w:rFonts w:ascii="Arial" w:eastAsia="Arial" w:hAnsi="Arial" w:cs="Arial"/>
          <w:b/>
        </w:rPr>
      </w:pPr>
    </w:p>
    <w:p w14:paraId="4910F77E" w14:textId="77777777" w:rsidR="00EC09F5" w:rsidRDefault="00EC09F5">
      <w:pPr>
        <w:spacing w:after="0" w:line="240" w:lineRule="auto"/>
        <w:jc w:val="center"/>
        <w:rPr>
          <w:rFonts w:ascii="Arial" w:eastAsia="Arial" w:hAnsi="Arial" w:cs="Arial"/>
          <w:b/>
        </w:rPr>
      </w:pPr>
    </w:p>
    <w:p w14:paraId="2AF3835A" w14:textId="77777777" w:rsidR="00EC09F5" w:rsidRDefault="00EC09F5">
      <w:pPr>
        <w:spacing w:after="0" w:line="240" w:lineRule="auto"/>
        <w:jc w:val="center"/>
        <w:rPr>
          <w:rFonts w:ascii="Arial" w:eastAsia="Arial" w:hAnsi="Arial" w:cs="Arial"/>
          <w:b/>
        </w:rPr>
      </w:pPr>
    </w:p>
    <w:p w14:paraId="5B02E0B8" w14:textId="77777777" w:rsidR="00EC09F5" w:rsidRDefault="00EC09F5">
      <w:pPr>
        <w:spacing w:after="0" w:line="240" w:lineRule="auto"/>
        <w:jc w:val="center"/>
        <w:rPr>
          <w:rFonts w:ascii="Arial" w:eastAsia="Arial" w:hAnsi="Arial" w:cs="Arial"/>
          <w:b/>
        </w:rPr>
      </w:pPr>
    </w:p>
    <w:p w14:paraId="1873E88F" w14:textId="77777777" w:rsidR="00EC09F5" w:rsidRDefault="00EC09F5">
      <w:pPr>
        <w:spacing w:after="0" w:line="240" w:lineRule="auto"/>
        <w:jc w:val="center"/>
        <w:rPr>
          <w:rFonts w:ascii="Arial" w:eastAsia="Arial" w:hAnsi="Arial" w:cs="Arial"/>
          <w:b/>
        </w:rPr>
      </w:pPr>
    </w:p>
    <w:p w14:paraId="31AD7723" w14:textId="77777777" w:rsidR="00EC09F5" w:rsidRDefault="00EC09F5">
      <w:pPr>
        <w:spacing w:after="0" w:line="240" w:lineRule="auto"/>
        <w:jc w:val="center"/>
        <w:rPr>
          <w:rFonts w:ascii="Arial" w:eastAsia="Arial" w:hAnsi="Arial" w:cs="Arial"/>
          <w:b/>
        </w:rPr>
      </w:pPr>
    </w:p>
    <w:p w14:paraId="66C0549A" w14:textId="77777777" w:rsidR="00EC09F5" w:rsidRDefault="00EC09F5">
      <w:pPr>
        <w:spacing w:after="0" w:line="240" w:lineRule="auto"/>
        <w:jc w:val="center"/>
        <w:rPr>
          <w:rFonts w:ascii="Arial" w:eastAsia="Arial" w:hAnsi="Arial" w:cs="Arial"/>
          <w:b/>
        </w:rPr>
      </w:pPr>
    </w:p>
    <w:p w14:paraId="7B7A7E72" w14:textId="77777777" w:rsidR="00EC09F5" w:rsidRDefault="00EC09F5">
      <w:pPr>
        <w:spacing w:after="0" w:line="240" w:lineRule="auto"/>
        <w:jc w:val="center"/>
        <w:rPr>
          <w:rFonts w:ascii="Arial" w:eastAsia="Arial" w:hAnsi="Arial" w:cs="Arial"/>
          <w:b/>
        </w:rPr>
      </w:pPr>
    </w:p>
    <w:p w14:paraId="2551C7D6" w14:textId="77777777" w:rsidR="00EC09F5" w:rsidRDefault="00EC09F5">
      <w:pPr>
        <w:spacing w:after="0" w:line="240" w:lineRule="auto"/>
        <w:jc w:val="center"/>
        <w:rPr>
          <w:rFonts w:ascii="Arial" w:eastAsia="Arial" w:hAnsi="Arial" w:cs="Arial"/>
          <w:b/>
        </w:rPr>
      </w:pPr>
    </w:p>
    <w:p w14:paraId="4D6C3049" w14:textId="77777777" w:rsidR="00EC09F5" w:rsidRDefault="00EC09F5">
      <w:pPr>
        <w:spacing w:after="0" w:line="240" w:lineRule="auto"/>
        <w:jc w:val="center"/>
        <w:rPr>
          <w:rFonts w:ascii="Arial" w:eastAsia="Arial" w:hAnsi="Arial" w:cs="Arial"/>
          <w:b/>
        </w:rPr>
      </w:pPr>
    </w:p>
    <w:p w14:paraId="4A854EAA" w14:textId="77777777" w:rsidR="00EC09F5" w:rsidRDefault="00EC09F5">
      <w:pPr>
        <w:spacing w:after="0" w:line="240" w:lineRule="auto"/>
        <w:jc w:val="center"/>
        <w:rPr>
          <w:rFonts w:ascii="Arial" w:eastAsia="Arial" w:hAnsi="Arial" w:cs="Arial"/>
          <w:b/>
        </w:rPr>
      </w:pPr>
    </w:p>
    <w:p w14:paraId="7727AA0B" w14:textId="77777777" w:rsidR="00EC09F5" w:rsidRDefault="00EC09F5">
      <w:pPr>
        <w:spacing w:after="0" w:line="240" w:lineRule="auto"/>
        <w:jc w:val="center"/>
        <w:rPr>
          <w:rFonts w:ascii="Arial" w:eastAsia="Arial" w:hAnsi="Arial" w:cs="Arial"/>
          <w:b/>
        </w:rPr>
      </w:pPr>
    </w:p>
    <w:p w14:paraId="47B3637A" w14:textId="77777777" w:rsidR="00EC09F5" w:rsidRDefault="00EC09F5">
      <w:pPr>
        <w:spacing w:after="0" w:line="240" w:lineRule="auto"/>
        <w:jc w:val="center"/>
        <w:rPr>
          <w:rFonts w:ascii="Arial" w:eastAsia="Arial" w:hAnsi="Arial" w:cs="Arial"/>
          <w:b/>
        </w:rPr>
      </w:pPr>
    </w:p>
    <w:p w14:paraId="47FC2659" w14:textId="77777777" w:rsidR="00EC09F5" w:rsidRDefault="00EC09F5">
      <w:pPr>
        <w:spacing w:after="0" w:line="240" w:lineRule="auto"/>
        <w:jc w:val="center"/>
        <w:rPr>
          <w:rFonts w:ascii="Arial" w:eastAsia="Arial" w:hAnsi="Arial" w:cs="Arial"/>
          <w:b/>
        </w:rPr>
      </w:pPr>
    </w:p>
    <w:p w14:paraId="2F57F4CE" w14:textId="77777777" w:rsidR="00EC09F5" w:rsidRDefault="00EC09F5">
      <w:pPr>
        <w:spacing w:after="0" w:line="240" w:lineRule="auto"/>
        <w:jc w:val="center"/>
        <w:rPr>
          <w:rFonts w:ascii="Arial" w:eastAsia="Arial" w:hAnsi="Arial" w:cs="Arial"/>
          <w:b/>
        </w:rPr>
      </w:pPr>
    </w:p>
    <w:p w14:paraId="5C575FD2" w14:textId="77777777" w:rsidR="00EC09F5" w:rsidRDefault="00EC09F5">
      <w:pPr>
        <w:spacing w:after="0" w:line="240" w:lineRule="auto"/>
        <w:jc w:val="center"/>
        <w:rPr>
          <w:rFonts w:ascii="Arial" w:eastAsia="Arial" w:hAnsi="Arial" w:cs="Arial"/>
          <w:b/>
        </w:rPr>
      </w:pPr>
    </w:p>
    <w:p w14:paraId="1F03E517" w14:textId="77777777" w:rsidR="00EC09F5" w:rsidRDefault="00EC09F5">
      <w:pPr>
        <w:spacing w:after="0" w:line="240" w:lineRule="auto"/>
        <w:jc w:val="center"/>
        <w:rPr>
          <w:rFonts w:ascii="Arial" w:eastAsia="Arial" w:hAnsi="Arial" w:cs="Arial"/>
          <w:b/>
        </w:rPr>
      </w:pPr>
    </w:p>
    <w:p w14:paraId="7378691C" w14:textId="77777777" w:rsidR="00EC09F5" w:rsidRDefault="00EC09F5">
      <w:pPr>
        <w:spacing w:after="0" w:line="240" w:lineRule="auto"/>
        <w:jc w:val="center"/>
        <w:rPr>
          <w:rFonts w:ascii="Arial" w:eastAsia="Arial" w:hAnsi="Arial" w:cs="Arial"/>
          <w:b/>
        </w:rPr>
      </w:pPr>
    </w:p>
    <w:p w14:paraId="6D655B7E" w14:textId="77777777" w:rsidR="00EC09F5" w:rsidRDefault="00EC09F5">
      <w:pPr>
        <w:spacing w:after="0" w:line="240" w:lineRule="auto"/>
        <w:jc w:val="center"/>
        <w:rPr>
          <w:rFonts w:ascii="Arial" w:eastAsia="Arial" w:hAnsi="Arial" w:cs="Arial"/>
          <w:b/>
        </w:rPr>
      </w:pPr>
    </w:p>
    <w:p w14:paraId="6473E895" w14:textId="77777777" w:rsidR="00EC09F5" w:rsidRDefault="00035912">
      <w:pPr>
        <w:spacing w:after="120" w:line="240" w:lineRule="auto"/>
        <w:rPr>
          <w:rFonts w:ascii="Arial" w:eastAsia="Arial" w:hAnsi="Arial" w:cs="Arial"/>
        </w:rPr>
      </w:pPr>
      <w:r>
        <w:br w:type="page"/>
      </w:r>
    </w:p>
    <w:p w14:paraId="4DAE870D" w14:textId="77777777" w:rsidR="00EC09F5" w:rsidRDefault="00035912">
      <w:pPr>
        <w:pStyle w:val="Heading1"/>
        <w:keepLines w:val="0"/>
        <w:numPr>
          <w:ilvl w:val="0"/>
          <w:numId w:val="6"/>
        </w:numPr>
        <w:spacing w:before="0" w:after="120" w:line="240" w:lineRule="auto"/>
        <w:jc w:val="both"/>
        <w:rPr>
          <w:rFonts w:ascii="Arial" w:eastAsia="Arial" w:hAnsi="Arial" w:cs="Arial"/>
          <w:sz w:val="32"/>
          <w:szCs w:val="32"/>
        </w:rPr>
      </w:pPr>
      <w:bookmarkStart w:id="1" w:name="_heading=h.30j0zll" w:colFirst="0" w:colLast="0"/>
      <w:bookmarkEnd w:id="1"/>
      <w:r>
        <w:rPr>
          <w:rFonts w:ascii="Arial" w:eastAsia="Arial" w:hAnsi="Arial" w:cs="Arial"/>
          <w:color w:val="000000"/>
          <w:sz w:val="32"/>
          <w:szCs w:val="32"/>
        </w:rPr>
        <w:lastRenderedPageBreak/>
        <w:t>PURPOSE</w:t>
      </w:r>
    </w:p>
    <w:p w14:paraId="3B7FDF48" w14:textId="77777777" w:rsidR="00EC09F5" w:rsidRDefault="00035912">
      <w:pPr>
        <w:pStyle w:val="Heading2"/>
        <w:keepNext w:val="0"/>
        <w:keepLines w:val="0"/>
        <w:numPr>
          <w:ilvl w:val="1"/>
          <w:numId w:val="6"/>
        </w:numPr>
        <w:spacing w:before="0" w:after="120" w:line="240" w:lineRule="auto"/>
        <w:ind w:left="709"/>
        <w:jc w:val="both"/>
        <w:rPr>
          <w:rFonts w:ascii="Arial" w:eastAsia="Arial" w:hAnsi="Arial" w:cs="Arial"/>
          <w:sz w:val="24"/>
          <w:szCs w:val="24"/>
        </w:rPr>
      </w:pPr>
      <w:bookmarkStart w:id="2" w:name="_heading=h.1fob9te" w:colFirst="0" w:colLast="0"/>
      <w:bookmarkEnd w:id="2"/>
      <w:r>
        <w:rPr>
          <w:rFonts w:ascii="Arial" w:eastAsia="Arial" w:hAnsi="Arial" w:cs="Arial"/>
          <w:b w:val="0"/>
          <w:color w:val="000000"/>
          <w:sz w:val="24"/>
          <w:szCs w:val="24"/>
        </w:rPr>
        <w:t>The Office for Equality &amp; Opportunity (OEO), within the Cabinet Office (referred to hereafter as the Contracting Authority), leads on equality policy including women’s equality, race equality, LGBT+ equality, disability equality, socio-economic equality, a</w:t>
      </w:r>
      <w:r>
        <w:rPr>
          <w:rFonts w:ascii="Arial" w:eastAsia="Arial" w:hAnsi="Arial" w:cs="Arial"/>
          <w:b w:val="0"/>
          <w:color w:val="000000"/>
          <w:sz w:val="24"/>
          <w:szCs w:val="24"/>
        </w:rPr>
        <w:t xml:space="preserve">nd the overall framework of equality legislation for the UK. The OEO is central to the government’s commitment to ensuring that every person, no matter their background, has access to the opportunities that allow them to thrive and be treated with respect </w:t>
      </w:r>
      <w:r>
        <w:rPr>
          <w:rFonts w:ascii="Arial" w:eastAsia="Arial" w:hAnsi="Arial" w:cs="Arial"/>
          <w:b w:val="0"/>
          <w:color w:val="000000"/>
          <w:sz w:val="24"/>
          <w:szCs w:val="24"/>
        </w:rPr>
        <w:t>and dignity.</w:t>
      </w:r>
    </w:p>
    <w:p w14:paraId="33A593A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This Service Description relates to socio-legal research that is to be undertaken to support policy relating to two different areas of equality law:</w:t>
      </w:r>
    </w:p>
    <w:p w14:paraId="721EB7AC"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r>
        <w:rPr>
          <w:rFonts w:ascii="Arial" w:eastAsia="Arial" w:hAnsi="Arial" w:cs="Arial"/>
          <w:sz w:val="24"/>
          <w:szCs w:val="24"/>
        </w:rPr>
        <w:t>Lot 1 Pay Discrimination - Research to support the strengthening of equal pay law and ending pay discrimina</w:t>
      </w:r>
      <w:r>
        <w:rPr>
          <w:rFonts w:ascii="Arial" w:eastAsia="Arial" w:hAnsi="Arial" w:cs="Arial"/>
          <w:sz w:val="24"/>
          <w:szCs w:val="24"/>
        </w:rPr>
        <w:t>tion.</w:t>
      </w:r>
      <w:r>
        <w:rPr>
          <w:rFonts w:ascii="Arial" w:eastAsia="Arial" w:hAnsi="Arial" w:cs="Arial"/>
          <w:b w:val="0"/>
          <w:sz w:val="24"/>
          <w:szCs w:val="24"/>
        </w:rPr>
        <w:t xml:space="preserve"> The Equality (Race &amp; Disability) Bill will extend equal pay rights to protect workers suffering discrimination on the basis of sex, race or disability. The government is also committed to ensuring that outsourcing of services can no longer be used by</w:t>
      </w:r>
      <w:r>
        <w:rPr>
          <w:rFonts w:ascii="Arial" w:eastAsia="Arial" w:hAnsi="Arial" w:cs="Arial"/>
          <w:b w:val="0"/>
          <w:sz w:val="24"/>
          <w:szCs w:val="24"/>
        </w:rPr>
        <w:t xml:space="preserve"> employers to avoid paying equal pay; and to implementing a regulatory and enforcement unit for equal pay with involvement from trade unions.</w:t>
      </w:r>
    </w:p>
    <w:p w14:paraId="1F79364D"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bookmarkStart w:id="3" w:name="_heading=h.3znysh7" w:colFirst="0" w:colLast="0"/>
      <w:bookmarkEnd w:id="3"/>
      <w:r>
        <w:rPr>
          <w:rFonts w:ascii="Arial" w:eastAsia="Arial" w:hAnsi="Arial" w:cs="Arial"/>
          <w:sz w:val="24"/>
          <w:szCs w:val="24"/>
        </w:rPr>
        <w:t>Lot 2 Combined Discrimination - Research to support the strengthening of protections against discrimination on the</w:t>
      </w:r>
      <w:r>
        <w:rPr>
          <w:rFonts w:ascii="Arial" w:eastAsia="Arial" w:hAnsi="Arial" w:cs="Arial"/>
          <w:sz w:val="24"/>
          <w:szCs w:val="24"/>
        </w:rPr>
        <w:t xml:space="preserve"> basis of a combination of protected characteristics.</w:t>
      </w:r>
      <w:r>
        <w:rPr>
          <w:rFonts w:ascii="Arial" w:eastAsia="Arial" w:hAnsi="Arial" w:cs="Arial"/>
          <w:b w:val="0"/>
          <w:sz w:val="24"/>
          <w:szCs w:val="24"/>
        </w:rPr>
        <w:t xml:space="preserve"> The government is concerned that the current legislative framework does not provide adequate protection for people who experience discrimination based on a combination of protected characteristics. It h</w:t>
      </w:r>
      <w:r>
        <w:rPr>
          <w:rFonts w:ascii="Arial" w:eastAsia="Arial" w:hAnsi="Arial" w:cs="Arial"/>
          <w:b w:val="0"/>
          <w:sz w:val="24"/>
          <w:szCs w:val="24"/>
        </w:rPr>
        <w:t>as therefore committed to commencing the currently uncommenced provision at Section 14 of the Equality Act 2010 to strengthen protections against combined discrimination.</w:t>
      </w:r>
    </w:p>
    <w:p w14:paraId="0824E258"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color w:val="000000"/>
          <w:sz w:val="24"/>
          <w:szCs w:val="24"/>
        </w:rPr>
        <w:t>Suppliers may bid for one or more lots.</w:t>
      </w:r>
      <w:r>
        <w:rPr>
          <w:rFonts w:ascii="Arial" w:eastAsia="Arial" w:hAnsi="Arial" w:cs="Arial"/>
          <w:b w:val="0"/>
          <w:color w:val="000000"/>
          <w:sz w:val="24"/>
          <w:szCs w:val="24"/>
        </w:rPr>
        <w:t xml:space="preserve"> We welcome innovative methodologies and appro</w:t>
      </w:r>
      <w:r>
        <w:rPr>
          <w:rFonts w:ascii="Arial" w:eastAsia="Arial" w:hAnsi="Arial" w:cs="Arial"/>
          <w:b w:val="0"/>
          <w:color w:val="000000"/>
          <w:sz w:val="24"/>
          <w:szCs w:val="24"/>
        </w:rPr>
        <w:t>aches and expect the Supplier to have access to a range of expertise in order to meet the research objectives for each of the two Lots.</w:t>
      </w:r>
    </w:p>
    <w:p w14:paraId="0A0C108E"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Supplier(s) will be required to work in close collaboration with the Contracting Authority, its advisory group and o</w:t>
      </w:r>
      <w:r>
        <w:rPr>
          <w:rFonts w:ascii="Arial" w:eastAsia="Arial" w:hAnsi="Arial" w:cs="Arial"/>
          <w:b w:val="0"/>
          <w:color w:val="000000"/>
          <w:sz w:val="24"/>
          <w:szCs w:val="24"/>
        </w:rPr>
        <w:t>ther Suppliers providing parallel work. The findings from this research will be amalgamated with parallel socio-legal research to inform the final conclusions and actionable insights, as well as considerations for enforcement.</w:t>
      </w:r>
    </w:p>
    <w:p w14:paraId="0BE3CF1C"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In both cases, the Supplier s</w:t>
      </w:r>
      <w:r>
        <w:rPr>
          <w:rFonts w:ascii="Arial" w:eastAsia="Arial" w:hAnsi="Arial" w:cs="Arial"/>
          <w:b w:val="0"/>
          <w:color w:val="000000"/>
          <w:sz w:val="24"/>
          <w:szCs w:val="24"/>
        </w:rPr>
        <w:t>hall undertake research meeting a number of objectives, set out below, while also maintaining oversight of social research into the lived experiences of those facing pay discrimination and discrimination on the basis of a combination of protected character</w:t>
      </w:r>
      <w:r>
        <w:rPr>
          <w:rFonts w:ascii="Arial" w:eastAsia="Arial" w:hAnsi="Arial" w:cs="Arial"/>
          <w:b w:val="0"/>
          <w:color w:val="000000"/>
          <w:sz w:val="24"/>
          <w:szCs w:val="24"/>
        </w:rPr>
        <w:t>istics, which is taking place in parallel.</w:t>
      </w:r>
    </w:p>
    <w:p w14:paraId="3D8D2F80"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lastRenderedPageBreak/>
        <w:t>The Supplier is expected to demonstrate value for money in their approach to this research, employing innovative techniques as appropriate to create efficiencies and deliver added value.</w:t>
      </w:r>
    </w:p>
    <w:p w14:paraId="6C642288" w14:textId="77777777" w:rsidR="00EC09F5" w:rsidRDefault="00035912">
      <w:pPr>
        <w:pStyle w:val="Heading1"/>
        <w:keepLines w:val="0"/>
        <w:numPr>
          <w:ilvl w:val="0"/>
          <w:numId w:val="6"/>
        </w:numPr>
        <w:spacing w:before="0" w:after="120" w:line="240" w:lineRule="auto"/>
        <w:jc w:val="both"/>
        <w:rPr>
          <w:rFonts w:ascii="Arial" w:eastAsia="Arial" w:hAnsi="Arial" w:cs="Arial"/>
          <w:sz w:val="32"/>
          <w:szCs w:val="32"/>
        </w:rPr>
      </w:pPr>
      <w:bookmarkStart w:id="4" w:name="_heading=h.2et92p0" w:colFirst="0" w:colLast="0"/>
      <w:bookmarkEnd w:id="4"/>
      <w:r>
        <w:rPr>
          <w:rFonts w:ascii="Arial" w:eastAsia="Arial" w:hAnsi="Arial" w:cs="Arial"/>
          <w:smallCaps/>
          <w:color w:val="000000"/>
          <w:sz w:val="32"/>
          <w:szCs w:val="32"/>
        </w:rPr>
        <w:t>BACKGROUND TO THE CONTRACT</w:t>
      </w:r>
      <w:r>
        <w:rPr>
          <w:rFonts w:ascii="Arial" w:eastAsia="Arial" w:hAnsi="Arial" w:cs="Arial"/>
          <w:smallCaps/>
          <w:color w:val="000000"/>
          <w:sz w:val="32"/>
          <w:szCs w:val="32"/>
        </w:rPr>
        <w:t>ING aUTHORITY</w:t>
      </w:r>
    </w:p>
    <w:p w14:paraId="588D9DDC"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Contracting Authority supports the Prime Minister, and ensures the effective running of government. The Contracting Authority is also the corporate headquarters for the government, in partnership with HM Treasury, and takes the lead in ce</w:t>
      </w:r>
      <w:r>
        <w:rPr>
          <w:rFonts w:ascii="Arial" w:eastAsia="Arial" w:hAnsi="Arial" w:cs="Arial"/>
          <w:b w:val="0"/>
          <w:color w:val="000000"/>
          <w:sz w:val="24"/>
          <w:szCs w:val="24"/>
        </w:rPr>
        <w:t>rtain critical policy areas. More information about the Contracting Authority can be found on its website at:</w:t>
      </w:r>
    </w:p>
    <w:p w14:paraId="4BEDF4D6" w14:textId="77777777" w:rsidR="00EC09F5" w:rsidRDefault="00035912">
      <w:pPr>
        <w:pStyle w:val="Heading2"/>
        <w:keepNext w:val="0"/>
        <w:keepLines w:val="0"/>
        <w:spacing w:before="0" w:after="240" w:line="240" w:lineRule="auto"/>
        <w:ind w:left="720"/>
        <w:jc w:val="both"/>
        <w:rPr>
          <w:rFonts w:ascii="Arial" w:eastAsia="Arial" w:hAnsi="Arial" w:cs="Arial"/>
          <w:b w:val="0"/>
          <w:color w:val="000000"/>
          <w:sz w:val="24"/>
          <w:szCs w:val="24"/>
        </w:rPr>
      </w:pPr>
      <w:hyperlink r:id="rId8">
        <w:r>
          <w:rPr>
            <w:rFonts w:ascii="Arial" w:eastAsia="Arial" w:hAnsi="Arial" w:cs="Arial"/>
            <w:b w:val="0"/>
            <w:color w:val="0000FF"/>
            <w:sz w:val="24"/>
            <w:szCs w:val="24"/>
            <w:u w:val="single"/>
          </w:rPr>
          <w:t>https://www.gov.uk/government/organisations/cabinet-office</w:t>
        </w:r>
      </w:hyperlink>
    </w:p>
    <w:p w14:paraId="02D68F83" w14:textId="77777777" w:rsidR="00EC09F5" w:rsidRDefault="00035912">
      <w:pPr>
        <w:pStyle w:val="Heading2"/>
        <w:keepNext w:val="0"/>
        <w:keepLines w:val="0"/>
        <w:numPr>
          <w:ilvl w:val="1"/>
          <w:numId w:val="6"/>
        </w:numPr>
        <w:spacing w:before="0" w:after="120" w:line="240" w:lineRule="auto"/>
        <w:ind w:left="709"/>
        <w:jc w:val="both"/>
        <w:rPr>
          <w:rFonts w:ascii="Arial" w:eastAsia="Arial" w:hAnsi="Arial" w:cs="Arial"/>
          <w:sz w:val="24"/>
          <w:szCs w:val="24"/>
        </w:rPr>
      </w:pPr>
      <w:r>
        <w:rPr>
          <w:rFonts w:ascii="Arial" w:eastAsia="Arial" w:hAnsi="Arial" w:cs="Arial"/>
          <w:b w:val="0"/>
          <w:color w:val="000000"/>
          <w:sz w:val="24"/>
          <w:szCs w:val="24"/>
        </w:rPr>
        <w:t>The OEO sits within the Contracting Authority. The OEO focuses on disability policy, ethnic disparities, gender equality,</w:t>
      </w:r>
      <w:r>
        <w:rPr>
          <w:rFonts w:ascii="Arial" w:eastAsia="Arial" w:hAnsi="Arial" w:cs="Arial"/>
          <w:b w:val="0"/>
          <w:color w:val="000000"/>
          <w:sz w:val="24"/>
          <w:szCs w:val="24"/>
        </w:rPr>
        <w:t xml:space="preserve"> LGBT+ rights and the overall framework of equality legislation for the UK including the Equality Act 2010 and sponsorship of the Equality &amp; Human Rights Commission.</w:t>
      </w:r>
    </w:p>
    <w:p w14:paraId="7C4C38ED" w14:textId="77777777" w:rsidR="00EC09F5" w:rsidRDefault="00035912">
      <w:pPr>
        <w:pStyle w:val="Heading1"/>
        <w:keepLines w:val="0"/>
        <w:numPr>
          <w:ilvl w:val="0"/>
          <w:numId w:val="6"/>
        </w:numPr>
        <w:spacing w:before="0" w:after="120" w:line="240" w:lineRule="auto"/>
        <w:jc w:val="both"/>
        <w:rPr>
          <w:rFonts w:ascii="Arial" w:eastAsia="Arial" w:hAnsi="Arial" w:cs="Arial"/>
          <w:sz w:val="32"/>
          <w:szCs w:val="32"/>
        </w:rPr>
      </w:pPr>
      <w:bookmarkStart w:id="5" w:name="_heading=h.tyjcwt" w:colFirst="0" w:colLast="0"/>
      <w:bookmarkEnd w:id="5"/>
      <w:r>
        <w:rPr>
          <w:rFonts w:ascii="Arial" w:eastAsia="Arial" w:hAnsi="Arial" w:cs="Arial"/>
          <w:smallCaps/>
          <w:color w:val="000000"/>
          <w:sz w:val="32"/>
          <w:szCs w:val="32"/>
        </w:rPr>
        <w:t xml:space="preserve">definitions </w:t>
      </w:r>
    </w:p>
    <w:tbl>
      <w:tblPr>
        <w:tblStyle w:val="a7"/>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404"/>
        <w:gridCol w:w="5895"/>
      </w:tblGrid>
      <w:tr w:rsidR="00EC09F5" w14:paraId="7738FB23" w14:textId="77777777">
        <w:tc>
          <w:tcPr>
            <w:tcW w:w="2404" w:type="dxa"/>
            <w:shd w:val="clear" w:color="auto" w:fill="C6D9F1"/>
          </w:tcPr>
          <w:p w14:paraId="1330DFFA" w14:textId="77777777" w:rsidR="00EC09F5" w:rsidRDefault="00035912">
            <w:pPr>
              <w:pStyle w:val="Heading2"/>
              <w:keepNext w:val="0"/>
              <w:keepLines w:val="0"/>
              <w:spacing w:before="0" w:after="120" w:line="240" w:lineRule="auto"/>
              <w:ind w:left="18"/>
              <w:jc w:val="left"/>
              <w:outlineLvl w:val="1"/>
              <w:rPr>
                <w:rFonts w:ascii="Arial" w:eastAsia="Arial" w:hAnsi="Arial" w:cs="Arial"/>
                <w:color w:val="000000"/>
                <w:sz w:val="24"/>
                <w:szCs w:val="24"/>
                <w:highlight w:val="yellow"/>
              </w:rPr>
            </w:pPr>
            <w:r>
              <w:rPr>
                <w:rFonts w:ascii="Arial" w:eastAsia="Arial" w:hAnsi="Arial" w:cs="Arial"/>
                <w:color w:val="000000"/>
                <w:sz w:val="24"/>
                <w:szCs w:val="24"/>
              </w:rPr>
              <w:t>Expression or Acronym</w:t>
            </w:r>
          </w:p>
        </w:tc>
        <w:tc>
          <w:tcPr>
            <w:tcW w:w="5895" w:type="dxa"/>
            <w:shd w:val="clear" w:color="auto" w:fill="C6D9F1"/>
          </w:tcPr>
          <w:p w14:paraId="550D3862" w14:textId="77777777" w:rsidR="00EC09F5" w:rsidRDefault="00035912">
            <w:pPr>
              <w:pStyle w:val="Heading2"/>
              <w:keepNext w:val="0"/>
              <w:keepLines w:val="0"/>
              <w:spacing w:before="0" w:after="120" w:line="240" w:lineRule="auto"/>
              <w:ind w:left="720"/>
              <w:jc w:val="left"/>
              <w:outlineLvl w:val="1"/>
              <w:rPr>
                <w:rFonts w:ascii="Arial" w:eastAsia="Arial" w:hAnsi="Arial" w:cs="Arial"/>
                <w:color w:val="000000"/>
                <w:sz w:val="24"/>
                <w:szCs w:val="24"/>
                <w:highlight w:val="yellow"/>
              </w:rPr>
            </w:pPr>
            <w:r>
              <w:rPr>
                <w:rFonts w:ascii="Arial" w:eastAsia="Arial" w:hAnsi="Arial" w:cs="Arial"/>
                <w:color w:val="000000"/>
                <w:sz w:val="24"/>
                <w:szCs w:val="24"/>
              </w:rPr>
              <w:t>Definition</w:t>
            </w:r>
          </w:p>
        </w:tc>
      </w:tr>
      <w:tr w:rsidR="00EC09F5" w14:paraId="21CF403B" w14:textId="77777777">
        <w:tc>
          <w:tcPr>
            <w:tcW w:w="2404" w:type="dxa"/>
          </w:tcPr>
          <w:p w14:paraId="6007715D"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OEO</w:t>
            </w:r>
          </w:p>
        </w:tc>
        <w:tc>
          <w:tcPr>
            <w:tcW w:w="5895" w:type="dxa"/>
          </w:tcPr>
          <w:p w14:paraId="1894DC2C"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Office for Equality and Opportunity</w:t>
            </w:r>
          </w:p>
        </w:tc>
      </w:tr>
      <w:tr w:rsidR="00EC09F5" w14:paraId="22B028A1" w14:textId="77777777">
        <w:tc>
          <w:tcPr>
            <w:tcW w:w="2404" w:type="dxa"/>
          </w:tcPr>
          <w:p w14:paraId="26DFCC69"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LGBT+</w:t>
            </w:r>
          </w:p>
        </w:tc>
        <w:tc>
          <w:tcPr>
            <w:tcW w:w="5895" w:type="dxa"/>
          </w:tcPr>
          <w:p w14:paraId="72B19BBA"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Lesbian, Gay, Bisexual or Trans and other identities</w:t>
            </w:r>
          </w:p>
        </w:tc>
      </w:tr>
      <w:tr w:rsidR="00EC09F5" w14:paraId="5D2F8EBB" w14:textId="77777777">
        <w:tc>
          <w:tcPr>
            <w:tcW w:w="2404" w:type="dxa"/>
          </w:tcPr>
          <w:p w14:paraId="5B137E48"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ERDB</w:t>
            </w:r>
          </w:p>
        </w:tc>
        <w:tc>
          <w:tcPr>
            <w:tcW w:w="5895" w:type="dxa"/>
          </w:tcPr>
          <w:p w14:paraId="15E0692D"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Equality (Race and Disability) Bill</w:t>
            </w:r>
          </w:p>
        </w:tc>
      </w:tr>
      <w:tr w:rsidR="00EC09F5" w14:paraId="25A72FD3" w14:textId="77777777">
        <w:tc>
          <w:tcPr>
            <w:tcW w:w="2404" w:type="dxa"/>
          </w:tcPr>
          <w:p w14:paraId="04837C4C"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BSL</w:t>
            </w:r>
          </w:p>
        </w:tc>
        <w:tc>
          <w:tcPr>
            <w:tcW w:w="5895" w:type="dxa"/>
          </w:tcPr>
          <w:p w14:paraId="4344135A"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British Sign Language</w:t>
            </w:r>
          </w:p>
        </w:tc>
      </w:tr>
      <w:tr w:rsidR="00EC09F5" w14:paraId="02E2222C" w14:textId="77777777">
        <w:tc>
          <w:tcPr>
            <w:tcW w:w="2404" w:type="dxa"/>
          </w:tcPr>
          <w:p w14:paraId="19E27A1C"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SSCL</w:t>
            </w:r>
          </w:p>
        </w:tc>
        <w:tc>
          <w:tcPr>
            <w:tcW w:w="5895" w:type="dxa"/>
          </w:tcPr>
          <w:p w14:paraId="20735073"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Shared Services Connected Limited</w:t>
            </w:r>
          </w:p>
        </w:tc>
      </w:tr>
      <w:tr w:rsidR="00EC09F5" w14:paraId="637F155C" w14:textId="77777777">
        <w:tc>
          <w:tcPr>
            <w:tcW w:w="2404" w:type="dxa"/>
          </w:tcPr>
          <w:p w14:paraId="3845B605"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UK GDPR</w:t>
            </w:r>
          </w:p>
        </w:tc>
        <w:tc>
          <w:tcPr>
            <w:tcW w:w="5895" w:type="dxa"/>
          </w:tcPr>
          <w:p w14:paraId="6564B4F5"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United Kingdom General Data Protection Reg</w:t>
            </w:r>
            <w:r>
              <w:rPr>
                <w:rFonts w:ascii="Arial" w:eastAsia="Arial" w:hAnsi="Arial" w:cs="Arial"/>
                <w:color w:val="000000"/>
                <w:sz w:val="24"/>
                <w:szCs w:val="24"/>
              </w:rPr>
              <w:t>ulation</w:t>
            </w:r>
          </w:p>
        </w:tc>
      </w:tr>
      <w:tr w:rsidR="00EC09F5" w14:paraId="7C58BBD1" w14:textId="77777777">
        <w:tc>
          <w:tcPr>
            <w:tcW w:w="2404" w:type="dxa"/>
          </w:tcPr>
          <w:p w14:paraId="1D635C04"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Pay discrimination</w:t>
            </w:r>
          </w:p>
        </w:tc>
        <w:tc>
          <w:tcPr>
            <w:tcW w:w="5895" w:type="dxa"/>
          </w:tcPr>
          <w:p w14:paraId="07CDC705"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By law, employers must not pay an employee less, or give them terms and conditions that put them at a disadvantage, because of disability, race, religion or belief, sexual orientation or another 'protected characteristic'.</w:t>
            </w:r>
          </w:p>
        </w:tc>
      </w:tr>
      <w:tr w:rsidR="00EC09F5" w14:paraId="07911453" w14:textId="77777777">
        <w:tc>
          <w:tcPr>
            <w:tcW w:w="2404" w:type="dxa"/>
          </w:tcPr>
          <w:p w14:paraId="732A392F"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Combined discrimination</w:t>
            </w:r>
          </w:p>
        </w:tc>
        <w:tc>
          <w:tcPr>
            <w:tcW w:w="5895" w:type="dxa"/>
          </w:tcPr>
          <w:p w14:paraId="35E0AE72"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Experien</w:t>
            </w:r>
            <w:r>
              <w:rPr>
                <w:rFonts w:ascii="Arial" w:eastAsia="Arial" w:hAnsi="Arial" w:cs="Arial"/>
                <w:color w:val="000000"/>
                <w:sz w:val="24"/>
                <w:szCs w:val="24"/>
              </w:rPr>
              <w:t>cing less favourable treatment because of a combination of protected characteristics.</w:t>
            </w:r>
          </w:p>
        </w:tc>
      </w:tr>
      <w:tr w:rsidR="00EC09F5" w14:paraId="3851F00C" w14:textId="77777777">
        <w:tc>
          <w:tcPr>
            <w:tcW w:w="2404" w:type="dxa"/>
          </w:tcPr>
          <w:p w14:paraId="63C55D83"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Equal pay</w:t>
            </w:r>
          </w:p>
        </w:tc>
        <w:tc>
          <w:tcPr>
            <w:tcW w:w="5895" w:type="dxa"/>
          </w:tcPr>
          <w:p w14:paraId="25A14E9F"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By law, men and women must get equal pay for doing 'equal work'. This is work that equal pay law classes as the same or broadly similar, equivalent or of equal</w:t>
            </w:r>
            <w:r>
              <w:rPr>
                <w:rFonts w:ascii="Arial" w:eastAsia="Arial" w:hAnsi="Arial" w:cs="Arial"/>
                <w:color w:val="000000"/>
                <w:sz w:val="24"/>
                <w:szCs w:val="24"/>
              </w:rPr>
              <w:t xml:space="preserve"> value.</w:t>
            </w:r>
          </w:p>
        </w:tc>
      </w:tr>
      <w:tr w:rsidR="00EC09F5" w14:paraId="55B7D8AF" w14:textId="77777777">
        <w:tc>
          <w:tcPr>
            <w:tcW w:w="2404" w:type="dxa"/>
          </w:tcPr>
          <w:p w14:paraId="3A72BE5F"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lastRenderedPageBreak/>
              <w:t>Lived experience</w:t>
            </w:r>
          </w:p>
        </w:tc>
        <w:tc>
          <w:tcPr>
            <w:tcW w:w="5895" w:type="dxa"/>
          </w:tcPr>
          <w:p w14:paraId="5EFE1D53"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The knowledge and understanding that comes from personally experiencing something, including the emotions, perceptions, and goals that shape a person's inner world</w:t>
            </w:r>
          </w:p>
        </w:tc>
      </w:tr>
      <w:tr w:rsidR="00EC09F5" w14:paraId="699C99F8" w14:textId="77777777">
        <w:tc>
          <w:tcPr>
            <w:tcW w:w="2404" w:type="dxa"/>
          </w:tcPr>
          <w:p w14:paraId="0900A21F"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Barriers to redress</w:t>
            </w:r>
          </w:p>
        </w:tc>
        <w:tc>
          <w:tcPr>
            <w:tcW w:w="5895" w:type="dxa"/>
          </w:tcPr>
          <w:p w14:paraId="78582BFE"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Anything which prevents individuals or organi</w:t>
            </w:r>
            <w:r>
              <w:rPr>
                <w:rFonts w:ascii="Arial" w:eastAsia="Arial" w:hAnsi="Arial" w:cs="Arial"/>
                <w:color w:val="000000"/>
                <w:sz w:val="24"/>
                <w:szCs w:val="24"/>
              </w:rPr>
              <w:t>sations from remedying discrimination. This could include, but is not limited to, fear of retaliation, lack of trust, complex reporting processes, associated costs, lack of understanding, or burden of proof.</w:t>
            </w:r>
          </w:p>
        </w:tc>
      </w:tr>
      <w:tr w:rsidR="00EC09F5" w14:paraId="76540EC9" w14:textId="77777777">
        <w:tc>
          <w:tcPr>
            <w:tcW w:w="2404" w:type="dxa"/>
          </w:tcPr>
          <w:p w14:paraId="37CBB21C"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Outsourcing</w:t>
            </w:r>
          </w:p>
        </w:tc>
        <w:tc>
          <w:tcPr>
            <w:tcW w:w="5895" w:type="dxa"/>
          </w:tcPr>
          <w:p w14:paraId="1C7CAF0C"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Understood broadly, outsourcing cou</w:t>
            </w:r>
            <w:r>
              <w:rPr>
                <w:rFonts w:ascii="Arial" w:eastAsia="Arial" w:hAnsi="Arial" w:cs="Arial"/>
                <w:color w:val="000000"/>
                <w:sz w:val="24"/>
                <w:szCs w:val="24"/>
              </w:rPr>
              <w:t>ld be taken to refer to a range of situations in which there is some kind of intermediation between workers and the organisations that require their work (‘the principal’). This could include the use of traditional outsourcing of services through an extern</w:t>
            </w:r>
            <w:r>
              <w:rPr>
                <w:rFonts w:ascii="Arial" w:eastAsia="Arial" w:hAnsi="Arial" w:cs="Arial"/>
                <w:color w:val="000000"/>
                <w:sz w:val="24"/>
                <w:szCs w:val="24"/>
              </w:rPr>
              <w:t>al service provider but also the use of arrangements such as subcontracting, umbrella companies, labour providers or employment agencies.</w:t>
            </w:r>
          </w:p>
        </w:tc>
      </w:tr>
      <w:tr w:rsidR="00EC09F5" w14:paraId="30D1DED5" w14:textId="77777777">
        <w:tc>
          <w:tcPr>
            <w:tcW w:w="2404" w:type="dxa"/>
          </w:tcPr>
          <w:p w14:paraId="11C83467"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Fissured workplaces</w:t>
            </w:r>
          </w:p>
        </w:tc>
        <w:tc>
          <w:tcPr>
            <w:tcW w:w="5895" w:type="dxa"/>
          </w:tcPr>
          <w:p w14:paraId="488EFECD"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When a principal employer replaces direct employment with alternative working arrangements including, but not limited to, independent contracting, on-call employment, temporary help, franchising, contract workers, staffing agencies, and outsourced continge</w:t>
            </w:r>
            <w:r>
              <w:rPr>
                <w:rFonts w:ascii="Arial" w:eastAsia="Arial" w:hAnsi="Arial" w:cs="Arial"/>
                <w:color w:val="000000"/>
                <w:sz w:val="24"/>
                <w:szCs w:val="24"/>
              </w:rPr>
              <w:t>nt workers, potentially on a project-by-project basis. These arrangements often decrease the risk and responsibility held by the principal employer and place it on other employers or individuals. This can result in workers losing the benefits of traditiona</w:t>
            </w:r>
            <w:r>
              <w:rPr>
                <w:rFonts w:ascii="Arial" w:eastAsia="Arial" w:hAnsi="Arial" w:cs="Arial"/>
                <w:color w:val="000000"/>
                <w:sz w:val="24"/>
                <w:szCs w:val="24"/>
              </w:rPr>
              <w:t>l employment relationships.</w:t>
            </w:r>
          </w:p>
        </w:tc>
      </w:tr>
      <w:tr w:rsidR="00EC09F5" w14:paraId="642436CD" w14:textId="77777777">
        <w:tc>
          <w:tcPr>
            <w:tcW w:w="2404" w:type="dxa"/>
          </w:tcPr>
          <w:p w14:paraId="7E5E5B7B"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Labour market non-compliance</w:t>
            </w:r>
          </w:p>
        </w:tc>
        <w:tc>
          <w:tcPr>
            <w:tcW w:w="5895" w:type="dxa"/>
          </w:tcPr>
          <w:p w14:paraId="04E8702E" w14:textId="77777777" w:rsidR="00EC09F5" w:rsidRDefault="00035912">
            <w:pPr>
              <w:pStyle w:val="Heading2"/>
              <w:keepNext w:val="0"/>
              <w:keepLines w:val="0"/>
              <w:spacing w:before="0" w:after="120" w:line="240" w:lineRule="auto"/>
              <w:ind w:left="720"/>
              <w:outlineLvl w:val="1"/>
              <w:rPr>
                <w:rFonts w:ascii="Arial" w:eastAsia="Arial" w:hAnsi="Arial" w:cs="Arial"/>
                <w:color w:val="000000"/>
                <w:sz w:val="24"/>
                <w:szCs w:val="24"/>
              </w:rPr>
            </w:pPr>
            <w:r>
              <w:rPr>
                <w:rFonts w:ascii="Arial" w:eastAsia="Arial" w:hAnsi="Arial" w:cs="Arial"/>
                <w:color w:val="000000"/>
                <w:sz w:val="24"/>
                <w:szCs w:val="24"/>
              </w:rPr>
              <w:t>When businesses or individuals do not follow the rules of the labour market, for example not paying the minimum wage or committing pay discrimination.</w:t>
            </w:r>
          </w:p>
        </w:tc>
      </w:tr>
    </w:tbl>
    <w:p w14:paraId="5C57491D" w14:textId="77777777" w:rsidR="00EC09F5" w:rsidRDefault="00EC09F5">
      <w:pPr>
        <w:pStyle w:val="Heading2"/>
        <w:keepNext w:val="0"/>
        <w:keepLines w:val="0"/>
        <w:spacing w:before="0" w:after="240" w:line="240" w:lineRule="auto"/>
        <w:ind w:left="720"/>
        <w:jc w:val="both"/>
        <w:rPr>
          <w:rFonts w:ascii="Arial" w:eastAsia="Arial" w:hAnsi="Arial" w:cs="Arial"/>
          <w:b w:val="0"/>
          <w:color w:val="000000"/>
          <w:sz w:val="24"/>
          <w:szCs w:val="24"/>
        </w:rPr>
      </w:pPr>
    </w:p>
    <w:p w14:paraId="1B9CB3EE" w14:textId="77777777" w:rsidR="00EC09F5" w:rsidRDefault="00035912">
      <w:pPr>
        <w:spacing w:after="0" w:line="240" w:lineRule="auto"/>
        <w:rPr>
          <w:rFonts w:ascii="Arial" w:eastAsia="Arial" w:hAnsi="Arial" w:cs="Arial"/>
          <w:b/>
          <w:sz w:val="36"/>
          <w:szCs w:val="36"/>
        </w:rPr>
      </w:pPr>
      <w:bookmarkStart w:id="6" w:name="_heading=h.3dy6vkm" w:colFirst="0" w:colLast="0"/>
      <w:bookmarkEnd w:id="6"/>
      <w:r>
        <w:br w:type="page"/>
      </w:r>
    </w:p>
    <w:p w14:paraId="65AF757E" w14:textId="77777777" w:rsidR="00EC09F5" w:rsidRDefault="00035912">
      <w:pPr>
        <w:pStyle w:val="Heading1"/>
        <w:keepLines w:val="0"/>
        <w:spacing w:before="0" w:after="120" w:line="240" w:lineRule="auto"/>
        <w:ind w:left="720"/>
        <w:jc w:val="both"/>
        <w:rPr>
          <w:rFonts w:ascii="Arial" w:eastAsia="Arial" w:hAnsi="Arial" w:cs="Arial"/>
          <w:color w:val="000000"/>
          <w:sz w:val="36"/>
          <w:szCs w:val="36"/>
        </w:rPr>
      </w:pPr>
      <w:bookmarkStart w:id="7" w:name="_heading=h.1t3h5sf" w:colFirst="0" w:colLast="0"/>
      <w:bookmarkEnd w:id="7"/>
      <w:r>
        <w:rPr>
          <w:rFonts w:ascii="Arial" w:eastAsia="Arial" w:hAnsi="Arial" w:cs="Arial"/>
          <w:color w:val="000000"/>
          <w:sz w:val="36"/>
          <w:szCs w:val="36"/>
        </w:rPr>
        <w:lastRenderedPageBreak/>
        <w:t>Lot 1 Pay Discrimination</w:t>
      </w:r>
    </w:p>
    <w:p w14:paraId="173B6048" w14:textId="77777777" w:rsidR="00EC09F5" w:rsidRDefault="00EC09F5">
      <w:pPr>
        <w:pStyle w:val="Heading1"/>
        <w:keepLines w:val="0"/>
        <w:spacing w:before="0" w:after="120" w:line="240" w:lineRule="auto"/>
        <w:ind w:left="720"/>
        <w:jc w:val="both"/>
        <w:rPr>
          <w:rFonts w:ascii="Arial" w:eastAsia="Arial" w:hAnsi="Arial" w:cs="Arial"/>
          <w:smallCaps/>
          <w:color w:val="000000"/>
          <w:sz w:val="32"/>
          <w:szCs w:val="32"/>
        </w:rPr>
      </w:pPr>
    </w:p>
    <w:p w14:paraId="5BE96726" w14:textId="77777777" w:rsidR="00EC09F5" w:rsidRDefault="00035912">
      <w:pPr>
        <w:pStyle w:val="Heading1"/>
        <w:keepLines w:val="0"/>
        <w:numPr>
          <w:ilvl w:val="0"/>
          <w:numId w:val="6"/>
        </w:numPr>
        <w:spacing w:before="0" w:after="120" w:line="240" w:lineRule="auto"/>
        <w:jc w:val="both"/>
        <w:rPr>
          <w:rFonts w:ascii="Arial" w:eastAsia="Arial" w:hAnsi="Arial" w:cs="Arial"/>
          <w:sz w:val="32"/>
          <w:szCs w:val="32"/>
        </w:rPr>
      </w:pPr>
      <w:bookmarkStart w:id="8" w:name="_heading=h.4d34og8" w:colFirst="0" w:colLast="0"/>
      <w:bookmarkEnd w:id="8"/>
      <w:r>
        <w:rPr>
          <w:rFonts w:ascii="Arial" w:eastAsia="Arial" w:hAnsi="Arial" w:cs="Arial"/>
          <w:smallCaps/>
          <w:color w:val="000000"/>
          <w:sz w:val="32"/>
          <w:szCs w:val="32"/>
        </w:rPr>
        <w:t>Lot 1 - OVERVIEW of requirement</w:t>
      </w:r>
    </w:p>
    <w:p w14:paraId="2426F11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bookmarkStart w:id="9" w:name="_heading=h.2s8eyo1" w:colFirst="0" w:colLast="0"/>
      <w:bookmarkEnd w:id="9"/>
      <w:r>
        <w:rPr>
          <w:rFonts w:ascii="Arial" w:eastAsia="Arial" w:hAnsi="Arial" w:cs="Arial"/>
          <w:b w:val="0"/>
          <w:color w:val="000000"/>
          <w:sz w:val="24"/>
          <w:szCs w:val="24"/>
        </w:rPr>
        <w:t>The government is committed to strengthenin</w:t>
      </w:r>
      <w:r>
        <w:rPr>
          <w:rFonts w:ascii="Arial" w:eastAsia="Arial" w:hAnsi="Arial" w:cs="Arial"/>
          <w:b w:val="0"/>
          <w:color w:val="000000"/>
          <w:sz w:val="24"/>
          <w:szCs w:val="24"/>
        </w:rPr>
        <w:t>g equal pay and ending pay discrimination. The Equality (Race &amp; Disability) Bill will extend equal pay rights to protect workers suffering discrimination on the basis of race or disability. The government is also committed to ensuring that outsourcing of s</w:t>
      </w:r>
      <w:r>
        <w:rPr>
          <w:rFonts w:ascii="Arial" w:eastAsia="Arial" w:hAnsi="Arial" w:cs="Arial"/>
          <w:b w:val="0"/>
          <w:color w:val="000000"/>
          <w:sz w:val="24"/>
          <w:szCs w:val="24"/>
        </w:rPr>
        <w:t>ervices can no longer be used by employers to avoid paying equal pay; and to implementing a regulatory and enforcement unit for equal pay with involvement from trade unions.</w:t>
      </w:r>
    </w:p>
    <w:p w14:paraId="04FC3330"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statutory regime relating to pay discrimination on the basis of sex (the equal pay scheme) is distinct from that proscribing general sex discrimination and also discrimination on the basis of other protected characteristics. This is because the Equalit</w:t>
      </w:r>
      <w:r>
        <w:rPr>
          <w:rFonts w:ascii="Arial" w:eastAsia="Arial" w:hAnsi="Arial" w:cs="Arial"/>
          <w:b w:val="0"/>
          <w:color w:val="000000"/>
          <w:sz w:val="24"/>
          <w:szCs w:val="24"/>
        </w:rPr>
        <w:t>y Act 2010 maintained the distinction created by its antecedents whereby the requirement for equal pay for equal work between men and women fell under the Equal Pay Act 1970 regime - grounded in contract law - while other discriminatory acts were prohibite</w:t>
      </w:r>
      <w:r>
        <w:rPr>
          <w:rFonts w:ascii="Arial" w:eastAsia="Arial" w:hAnsi="Arial" w:cs="Arial"/>
          <w:b w:val="0"/>
          <w:color w:val="000000"/>
          <w:sz w:val="24"/>
          <w:szCs w:val="24"/>
        </w:rPr>
        <w:t>d by discrimination law, codifying them as the statutory torts of discrimination, victimisation and harassment.</w:t>
      </w:r>
    </w:p>
    <w:p w14:paraId="5A446984"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Therefore, at present, with only narrow exceptions, sex discrimination claims brought to the Employment Tribunal in relation to contractual pay </w:t>
      </w:r>
      <w:r>
        <w:rPr>
          <w:rFonts w:ascii="Arial" w:eastAsia="Arial" w:hAnsi="Arial" w:cs="Arial"/>
          <w:b w:val="0"/>
          <w:color w:val="000000"/>
          <w:sz w:val="24"/>
          <w:szCs w:val="24"/>
        </w:rPr>
        <w:t>must be brought as equal pay claims. These have their own, bespoke, legal requirements and procedures. In contrast, someone who has experienced race or disability discrimination in relation to contractual pay is able to bring a claim under the Equality Act</w:t>
      </w:r>
      <w:r>
        <w:rPr>
          <w:rFonts w:ascii="Arial" w:eastAsia="Arial" w:hAnsi="Arial" w:cs="Arial"/>
          <w:b w:val="0"/>
          <w:color w:val="000000"/>
          <w:sz w:val="24"/>
          <w:szCs w:val="24"/>
        </w:rPr>
        <w:t xml:space="preserve"> 2010’s direct discrimination or indirect discrimination provisions. In the case of disability, they may also be able to bring claims under the Act’s provisions on discrimination arising from disability or potentially reasonable adjustment provisions.</w:t>
      </w:r>
    </w:p>
    <w:p w14:paraId="0D90C5D2"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In meeting the key research objectives set out in sections 5 &amp; 6, this commission will support the Authority in making informed decisions as to how best to deliver these commitments.</w:t>
      </w:r>
    </w:p>
    <w:p w14:paraId="0601CD1A" w14:textId="77777777" w:rsidR="00EC09F5" w:rsidRDefault="00035912">
      <w:pPr>
        <w:pStyle w:val="Heading1"/>
        <w:keepLines w:val="0"/>
        <w:numPr>
          <w:ilvl w:val="0"/>
          <w:numId w:val="6"/>
        </w:numPr>
        <w:spacing w:before="240" w:after="120" w:line="240" w:lineRule="auto"/>
        <w:rPr>
          <w:rFonts w:ascii="Arial" w:eastAsia="Arial" w:hAnsi="Arial" w:cs="Arial"/>
          <w:sz w:val="32"/>
          <w:szCs w:val="32"/>
        </w:rPr>
      </w:pPr>
      <w:bookmarkStart w:id="10" w:name="_heading=h.17dp8vu" w:colFirst="0" w:colLast="0"/>
      <w:bookmarkEnd w:id="10"/>
      <w:r>
        <w:rPr>
          <w:rFonts w:ascii="Arial" w:eastAsia="Arial" w:hAnsi="Arial" w:cs="Arial"/>
          <w:smallCaps/>
          <w:color w:val="000000"/>
          <w:sz w:val="32"/>
          <w:szCs w:val="32"/>
        </w:rPr>
        <w:t xml:space="preserve">lot 1 - scope of requirement </w:t>
      </w:r>
    </w:p>
    <w:p w14:paraId="0E2620AF"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Interested Potential Suppliers should caref</w:t>
      </w:r>
      <w:r>
        <w:rPr>
          <w:rFonts w:ascii="Arial" w:eastAsia="Arial" w:hAnsi="Arial" w:cs="Arial"/>
          <w:b w:val="0"/>
          <w:color w:val="000000"/>
          <w:sz w:val="24"/>
          <w:szCs w:val="24"/>
        </w:rPr>
        <w:t xml:space="preserve">ully read the requirements set out below and respond to the questions set out in the response guidance. </w:t>
      </w:r>
    </w:p>
    <w:p w14:paraId="67C0A2ED"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is to assume that all requirements are core requirements and should therefore be included in the core contract price, unless otherwise spe</w:t>
      </w:r>
      <w:r>
        <w:rPr>
          <w:rFonts w:ascii="Arial" w:eastAsia="Arial" w:hAnsi="Arial" w:cs="Arial"/>
          <w:b w:val="0"/>
          <w:color w:val="000000"/>
          <w:sz w:val="24"/>
          <w:szCs w:val="24"/>
        </w:rPr>
        <w:t xml:space="preserve">cified. </w:t>
      </w:r>
    </w:p>
    <w:p w14:paraId="643757A1"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is to implement all objectives and processes listed in their approaches once agreed and signed, if requested by the Authority.</w:t>
      </w:r>
    </w:p>
    <w:p w14:paraId="3A29AD28"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lastRenderedPageBreak/>
        <w:t>The Supplier will be required to work in close collaboration with the Authority, its advisory group and oth</w:t>
      </w:r>
      <w:r>
        <w:rPr>
          <w:rFonts w:ascii="Arial" w:eastAsia="Arial" w:hAnsi="Arial" w:cs="Arial"/>
          <w:b w:val="0"/>
          <w:color w:val="000000"/>
          <w:sz w:val="24"/>
          <w:szCs w:val="24"/>
        </w:rPr>
        <w:t>er Suppliers providing parallel work. In particular, Suppliers should collaborate closely when gaining access to cases to minimise the impact on source organisations.</w:t>
      </w:r>
    </w:p>
    <w:p w14:paraId="6BE4A00F"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key objectives of Lot 1, which the Supplier shall assist the Authority in delivering,</w:t>
      </w:r>
      <w:r>
        <w:rPr>
          <w:rFonts w:ascii="Arial" w:eastAsia="Arial" w:hAnsi="Arial" w:cs="Arial"/>
          <w:b w:val="0"/>
          <w:color w:val="000000"/>
          <w:sz w:val="24"/>
          <w:szCs w:val="24"/>
        </w:rPr>
        <w:t xml:space="preserve"> are to:</w:t>
      </w:r>
    </w:p>
    <w:p w14:paraId="3CDD590F" w14:textId="77777777" w:rsidR="00EC09F5" w:rsidRDefault="00035912">
      <w:pPr>
        <w:pStyle w:val="Heading3"/>
        <w:keepNext w:val="0"/>
        <w:keepLines w:val="0"/>
        <w:numPr>
          <w:ilvl w:val="2"/>
          <w:numId w:val="11"/>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Assess the prevalence, patterns and characteristics of pay discrimination on the basis of race, disability and sex in Great Britain</w:t>
      </w:r>
    </w:p>
    <w:p w14:paraId="12AE66CC" w14:textId="77777777" w:rsidR="00EC09F5" w:rsidRDefault="00035912">
      <w:pPr>
        <w:pStyle w:val="Heading3"/>
        <w:keepNext w:val="0"/>
        <w:keepLines w:val="0"/>
        <w:numPr>
          <w:ilvl w:val="2"/>
          <w:numId w:val="11"/>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Understand what differences there are when comparing patterns of pay discrimination on the basis of race, disabilit</w:t>
      </w:r>
      <w:r>
        <w:rPr>
          <w:rFonts w:ascii="Arial" w:eastAsia="Arial" w:hAnsi="Arial" w:cs="Arial"/>
          <w:b w:val="0"/>
          <w:sz w:val="24"/>
          <w:szCs w:val="24"/>
        </w:rPr>
        <w:t>y and sex</w:t>
      </w:r>
    </w:p>
    <w:p w14:paraId="47AA6B7D" w14:textId="77777777" w:rsidR="00EC09F5" w:rsidRDefault="00035912">
      <w:pPr>
        <w:pStyle w:val="Heading3"/>
        <w:keepNext w:val="0"/>
        <w:keepLines w:val="0"/>
        <w:numPr>
          <w:ilvl w:val="2"/>
          <w:numId w:val="11"/>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Understand whether there are specific problems in relation to pay discrimination on the basis of race, disability or sex in particular sectors, labour supply chains, employer types, or other categories of work</w:t>
      </w:r>
    </w:p>
    <w:p w14:paraId="6FEA69E8" w14:textId="77777777" w:rsidR="00EC09F5" w:rsidRDefault="00035912">
      <w:pPr>
        <w:pStyle w:val="Heading3"/>
        <w:keepNext w:val="0"/>
        <w:keepLines w:val="0"/>
        <w:numPr>
          <w:ilvl w:val="2"/>
          <w:numId w:val="11"/>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In particular, whether there are dis</w:t>
      </w:r>
      <w:r>
        <w:rPr>
          <w:rFonts w:ascii="Arial" w:eastAsia="Arial" w:hAnsi="Arial" w:cs="Arial"/>
          <w:b w:val="0"/>
          <w:sz w:val="24"/>
          <w:szCs w:val="24"/>
        </w:rPr>
        <w:t>tinct barriers to redress where the making of, or failure to make, reasonable adjustments is a factor in pay discrimination. For example, where an employer pays an employee less due to having made a reasonable adjustment</w:t>
      </w:r>
    </w:p>
    <w:p w14:paraId="0EEDDEC6" w14:textId="77777777" w:rsidR="00EC09F5" w:rsidRDefault="00035912">
      <w:pPr>
        <w:pStyle w:val="Heading3"/>
        <w:keepNext w:val="0"/>
        <w:keepLines w:val="0"/>
        <w:numPr>
          <w:ilvl w:val="2"/>
          <w:numId w:val="11"/>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 xml:space="preserve">Explore steps that can be taken to </w:t>
      </w:r>
      <w:r>
        <w:rPr>
          <w:rFonts w:ascii="Arial" w:eastAsia="Arial" w:hAnsi="Arial" w:cs="Arial"/>
          <w:b w:val="0"/>
          <w:sz w:val="24"/>
          <w:szCs w:val="24"/>
        </w:rPr>
        <w:t xml:space="preserve">prevent pay discrimination and remove barriers to redress (whether legal or otherwise) faced by those who experience pay discrimination on the grounds of race, disability and sex, including if and how enforcement could be strengthened. This should include </w:t>
      </w:r>
      <w:r>
        <w:rPr>
          <w:rFonts w:ascii="Arial" w:eastAsia="Arial" w:hAnsi="Arial" w:cs="Arial"/>
          <w:b w:val="0"/>
          <w:sz w:val="24"/>
          <w:szCs w:val="24"/>
        </w:rPr>
        <w:t xml:space="preserve">analysis of the potential impact of any such steps on the prevalence of pay discrimination, the experience in seeking redress, as well as the impact on employers and the justice system. </w:t>
      </w:r>
    </w:p>
    <w:p w14:paraId="5687FE36"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The Government is committed to ensuring that outsourcing of services </w:t>
      </w:r>
      <w:r>
        <w:rPr>
          <w:rFonts w:ascii="Arial" w:eastAsia="Arial" w:hAnsi="Arial" w:cs="Arial"/>
          <w:b w:val="0"/>
          <w:color w:val="000000"/>
          <w:sz w:val="24"/>
          <w:szCs w:val="24"/>
        </w:rPr>
        <w:t>can no longer be used by employers to avoid paying equal pay. This research will be expected to consider pay discrimination as a practice that can take place across different employers where outsourcing is taking place, with conclusions drawn for options a</w:t>
      </w:r>
      <w:r>
        <w:rPr>
          <w:rFonts w:ascii="Arial" w:eastAsia="Arial" w:hAnsi="Arial" w:cs="Arial"/>
          <w:b w:val="0"/>
          <w:color w:val="000000"/>
          <w:sz w:val="24"/>
          <w:szCs w:val="24"/>
        </w:rPr>
        <w:t>nd recommendations for the enforcement of equal pay in relation to outsourcing services.</w:t>
      </w:r>
    </w:p>
    <w:p w14:paraId="3A3044DE"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There is no fixed legal definition of “outsourcing”, and there is no ready-made model definition that can be used in this context. Understood broadly, outsourcing coul</w:t>
      </w:r>
      <w:r>
        <w:rPr>
          <w:rFonts w:ascii="Arial" w:eastAsia="Arial" w:hAnsi="Arial" w:cs="Arial"/>
          <w:b w:val="0"/>
          <w:color w:val="000000"/>
          <w:sz w:val="24"/>
          <w:szCs w:val="24"/>
        </w:rPr>
        <w:t>d be taken to refer to a range of situations in which there is some kind of intermediation between workers and the organisations that require their work (‘the principal’). This could include the use of traditional outsourcing of services through an externa</w:t>
      </w:r>
      <w:r>
        <w:rPr>
          <w:rFonts w:ascii="Arial" w:eastAsia="Arial" w:hAnsi="Arial" w:cs="Arial"/>
          <w:b w:val="0"/>
          <w:color w:val="000000"/>
          <w:sz w:val="24"/>
          <w:szCs w:val="24"/>
        </w:rPr>
        <w:t>l service provider but also the use of arrangements such as subcontracting, umbrella companies, labour providers or employment agencies. The existing requirements relating to equality of terms under the Equality Act 2010 apply to employer/employee relation</w:t>
      </w:r>
      <w:r>
        <w:rPr>
          <w:rFonts w:ascii="Arial" w:eastAsia="Arial" w:hAnsi="Arial" w:cs="Arial"/>
          <w:b w:val="0"/>
          <w:color w:val="000000"/>
          <w:sz w:val="24"/>
          <w:szCs w:val="24"/>
        </w:rPr>
        <w:t xml:space="preserve">ships (as </w:t>
      </w:r>
      <w:r>
        <w:rPr>
          <w:rFonts w:ascii="Arial" w:eastAsia="Arial" w:hAnsi="Arial" w:cs="Arial"/>
          <w:b w:val="0"/>
          <w:color w:val="000000"/>
          <w:sz w:val="24"/>
          <w:szCs w:val="24"/>
        </w:rPr>
        <w:lastRenderedPageBreak/>
        <w:t>defined under the Act), and do not therefore enable outsourced workers (who are not employed by the principal) to benefit or seek any redress in the event of inequality between their contractual terms and those provided by the principal to its “i</w:t>
      </w:r>
      <w:r>
        <w:rPr>
          <w:rFonts w:ascii="Arial" w:eastAsia="Arial" w:hAnsi="Arial" w:cs="Arial"/>
          <w:b w:val="0"/>
          <w:color w:val="000000"/>
          <w:sz w:val="24"/>
          <w:szCs w:val="24"/>
        </w:rPr>
        <w:t>n house” employees. Through this research we are exploring how to remove the barriers and potentially enable these comparisons in equal pay claims.</w:t>
      </w:r>
    </w:p>
    <w:p w14:paraId="68CEDE06"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The headline requirements for Lot 1, which the Supplier shall be required to deliver, are as follows: </w:t>
      </w:r>
    </w:p>
    <w:p w14:paraId="6328832A" w14:textId="77777777" w:rsidR="00EC09F5" w:rsidRDefault="00035912">
      <w:pPr>
        <w:pStyle w:val="Heading3"/>
        <w:keepNext w:val="0"/>
        <w:keepLines w:val="0"/>
        <w:numPr>
          <w:ilvl w:val="2"/>
          <w:numId w:val="15"/>
        </w:numPr>
        <w:spacing w:before="0" w:after="240" w:line="240" w:lineRule="auto"/>
        <w:ind w:hanging="381"/>
        <w:jc w:val="both"/>
        <w:rPr>
          <w:rFonts w:ascii="Arial" w:eastAsia="Arial" w:hAnsi="Arial" w:cs="Arial"/>
          <w:sz w:val="24"/>
          <w:szCs w:val="24"/>
        </w:rPr>
      </w:pPr>
      <w:r>
        <w:rPr>
          <w:rFonts w:ascii="Arial" w:eastAsia="Arial" w:hAnsi="Arial" w:cs="Arial"/>
          <w:b w:val="0"/>
          <w:sz w:val="24"/>
          <w:szCs w:val="24"/>
        </w:rPr>
        <w:t>Multi</w:t>
      </w:r>
      <w:r>
        <w:rPr>
          <w:rFonts w:ascii="Arial" w:eastAsia="Arial" w:hAnsi="Arial" w:cs="Arial"/>
          <w:b w:val="0"/>
          <w:sz w:val="24"/>
          <w:szCs w:val="24"/>
        </w:rPr>
        <w:t>-disciplinary literature review of equal pay and pay discrimination research.</w:t>
      </w:r>
    </w:p>
    <w:p w14:paraId="243CCD2F" w14:textId="77777777" w:rsidR="00EC09F5" w:rsidRDefault="00035912">
      <w:pPr>
        <w:pStyle w:val="Heading3"/>
        <w:keepNext w:val="0"/>
        <w:keepLines w:val="0"/>
        <w:numPr>
          <w:ilvl w:val="2"/>
          <w:numId w:val="15"/>
        </w:numPr>
        <w:spacing w:before="0" w:after="240" w:line="240" w:lineRule="auto"/>
        <w:ind w:hanging="381"/>
        <w:jc w:val="both"/>
        <w:rPr>
          <w:rFonts w:ascii="Arial" w:eastAsia="Arial" w:hAnsi="Arial" w:cs="Arial"/>
          <w:sz w:val="24"/>
          <w:szCs w:val="24"/>
        </w:rPr>
      </w:pPr>
      <w:r>
        <w:rPr>
          <w:rFonts w:ascii="Arial" w:eastAsia="Arial" w:hAnsi="Arial" w:cs="Arial"/>
          <w:b w:val="0"/>
          <w:sz w:val="24"/>
          <w:szCs w:val="24"/>
        </w:rPr>
        <w:t>Review, access and select appropriate cases for equal pay review.</w:t>
      </w:r>
    </w:p>
    <w:p w14:paraId="4B983F44" w14:textId="77777777" w:rsidR="00EC09F5" w:rsidRDefault="00035912">
      <w:pPr>
        <w:pStyle w:val="Heading3"/>
        <w:keepNext w:val="0"/>
        <w:keepLines w:val="0"/>
        <w:numPr>
          <w:ilvl w:val="2"/>
          <w:numId w:val="15"/>
        </w:numPr>
        <w:spacing w:before="0" w:after="240" w:line="240" w:lineRule="auto"/>
        <w:ind w:hanging="381"/>
        <w:jc w:val="both"/>
        <w:rPr>
          <w:rFonts w:ascii="Arial" w:eastAsia="Arial" w:hAnsi="Arial" w:cs="Arial"/>
          <w:sz w:val="24"/>
          <w:szCs w:val="24"/>
        </w:rPr>
      </w:pPr>
      <w:r>
        <w:rPr>
          <w:rFonts w:ascii="Arial" w:eastAsia="Arial" w:hAnsi="Arial" w:cs="Arial"/>
          <w:b w:val="0"/>
          <w:sz w:val="24"/>
          <w:szCs w:val="24"/>
        </w:rPr>
        <w:t>Analysis of cases and barriers to bringing them.</w:t>
      </w:r>
    </w:p>
    <w:p w14:paraId="2AC00093" w14:textId="77777777" w:rsidR="00EC09F5" w:rsidRDefault="00035912">
      <w:pPr>
        <w:pStyle w:val="Heading3"/>
        <w:keepNext w:val="0"/>
        <w:keepLines w:val="0"/>
        <w:numPr>
          <w:ilvl w:val="2"/>
          <w:numId w:val="15"/>
        </w:numPr>
        <w:spacing w:before="0" w:after="240" w:line="240" w:lineRule="auto"/>
        <w:ind w:hanging="381"/>
        <w:jc w:val="both"/>
        <w:rPr>
          <w:rFonts w:ascii="Arial" w:eastAsia="Arial" w:hAnsi="Arial" w:cs="Arial"/>
          <w:sz w:val="24"/>
          <w:szCs w:val="24"/>
        </w:rPr>
      </w:pPr>
      <w:r>
        <w:rPr>
          <w:rFonts w:ascii="Arial" w:eastAsia="Arial" w:hAnsi="Arial" w:cs="Arial"/>
          <w:b w:val="0"/>
          <w:sz w:val="24"/>
          <w:szCs w:val="24"/>
        </w:rPr>
        <w:t>The Supplier is to coordinate an advisory group overseeing a parallel stream of lived experience research and also provide socio-legal expertise as part of the advisory group.</w:t>
      </w:r>
    </w:p>
    <w:p w14:paraId="22E2DE52" w14:textId="77777777" w:rsidR="00EC09F5" w:rsidRDefault="00035912">
      <w:pPr>
        <w:pStyle w:val="Heading3"/>
        <w:keepNext w:val="0"/>
        <w:keepLines w:val="0"/>
        <w:numPr>
          <w:ilvl w:val="2"/>
          <w:numId w:val="15"/>
        </w:numPr>
        <w:spacing w:before="0" w:after="240" w:line="240" w:lineRule="auto"/>
        <w:ind w:hanging="381"/>
        <w:jc w:val="both"/>
        <w:rPr>
          <w:rFonts w:ascii="Arial" w:eastAsia="Arial" w:hAnsi="Arial" w:cs="Arial"/>
          <w:sz w:val="24"/>
          <w:szCs w:val="24"/>
        </w:rPr>
      </w:pPr>
      <w:r>
        <w:rPr>
          <w:rFonts w:ascii="Arial" w:eastAsia="Arial" w:hAnsi="Arial" w:cs="Arial"/>
          <w:b w:val="0"/>
          <w:sz w:val="24"/>
          <w:szCs w:val="24"/>
        </w:rPr>
        <w:t>Provide interim findings to update the Authority on progress.</w:t>
      </w:r>
    </w:p>
    <w:p w14:paraId="7477BE3C" w14:textId="77777777" w:rsidR="00EC09F5" w:rsidRDefault="00035912">
      <w:pPr>
        <w:pStyle w:val="Heading3"/>
        <w:keepNext w:val="0"/>
        <w:keepLines w:val="0"/>
        <w:numPr>
          <w:ilvl w:val="2"/>
          <w:numId w:val="15"/>
        </w:numPr>
        <w:spacing w:before="0" w:after="240" w:line="240" w:lineRule="auto"/>
        <w:ind w:hanging="381"/>
        <w:jc w:val="both"/>
        <w:rPr>
          <w:rFonts w:ascii="Arial" w:eastAsia="Arial" w:hAnsi="Arial" w:cs="Arial"/>
          <w:sz w:val="24"/>
          <w:szCs w:val="24"/>
        </w:rPr>
      </w:pPr>
      <w:r>
        <w:rPr>
          <w:rFonts w:ascii="Arial" w:eastAsia="Arial" w:hAnsi="Arial" w:cs="Arial"/>
          <w:b w:val="0"/>
          <w:sz w:val="24"/>
          <w:szCs w:val="24"/>
        </w:rPr>
        <w:t>A final report, in</w:t>
      </w:r>
      <w:r>
        <w:rPr>
          <w:rFonts w:ascii="Arial" w:eastAsia="Arial" w:hAnsi="Arial" w:cs="Arial"/>
          <w:b w:val="0"/>
          <w:sz w:val="24"/>
          <w:szCs w:val="24"/>
        </w:rPr>
        <w:t>corporating findings from the parallel lived experience research.</w:t>
      </w:r>
    </w:p>
    <w:p w14:paraId="30CA0AD2" w14:textId="77777777" w:rsidR="00EC09F5" w:rsidRDefault="00035912">
      <w:pPr>
        <w:pStyle w:val="Heading1"/>
        <w:keepLines w:val="0"/>
        <w:numPr>
          <w:ilvl w:val="0"/>
          <w:numId w:val="6"/>
        </w:numPr>
        <w:spacing w:before="0" w:after="120" w:line="240" w:lineRule="auto"/>
        <w:rPr>
          <w:rFonts w:ascii="Arial" w:eastAsia="Arial" w:hAnsi="Arial" w:cs="Arial"/>
          <w:sz w:val="32"/>
          <w:szCs w:val="32"/>
        </w:rPr>
      </w:pPr>
      <w:bookmarkStart w:id="11" w:name="_heading=h.3rdcrjn" w:colFirst="0" w:colLast="0"/>
      <w:bookmarkEnd w:id="11"/>
      <w:r>
        <w:rPr>
          <w:rFonts w:ascii="Arial" w:eastAsia="Arial" w:hAnsi="Arial" w:cs="Arial"/>
          <w:smallCaps/>
          <w:color w:val="000000"/>
          <w:sz w:val="32"/>
          <w:szCs w:val="32"/>
        </w:rPr>
        <w:t>Lot 1 - The requirement</w:t>
      </w:r>
    </w:p>
    <w:p w14:paraId="520DDA0D" w14:textId="77777777" w:rsidR="00EC09F5" w:rsidRDefault="00035912">
      <w:pPr>
        <w:pStyle w:val="Heading2"/>
        <w:keepNext w:val="0"/>
        <w:keepLines w:val="0"/>
        <w:numPr>
          <w:ilvl w:val="1"/>
          <w:numId w:val="6"/>
        </w:numPr>
        <w:spacing w:before="0" w:after="120" w:line="240" w:lineRule="auto"/>
        <w:ind w:left="709"/>
        <w:jc w:val="both"/>
        <w:rPr>
          <w:rFonts w:ascii="Arial" w:eastAsia="Arial" w:hAnsi="Arial" w:cs="Arial"/>
          <w:sz w:val="24"/>
          <w:szCs w:val="24"/>
        </w:rPr>
      </w:pPr>
      <w:r>
        <w:rPr>
          <w:rFonts w:ascii="Arial" w:eastAsia="Arial" w:hAnsi="Arial" w:cs="Arial"/>
          <w:b w:val="0"/>
          <w:color w:val="000000"/>
          <w:sz w:val="24"/>
          <w:szCs w:val="24"/>
        </w:rPr>
        <w:t>The following sections outline requirements related to each headline requirement in more detail.</w:t>
      </w:r>
    </w:p>
    <w:p w14:paraId="787314AA" w14:textId="77777777" w:rsidR="00EC09F5" w:rsidRDefault="00035912">
      <w:pPr>
        <w:pStyle w:val="Heading2"/>
        <w:keepNext w:val="0"/>
        <w:keepLines w:val="0"/>
        <w:numPr>
          <w:ilvl w:val="1"/>
          <w:numId w:val="9"/>
        </w:numPr>
        <w:spacing w:before="0" w:after="120" w:line="240" w:lineRule="auto"/>
        <w:jc w:val="both"/>
        <w:rPr>
          <w:rFonts w:ascii="Arial" w:eastAsia="Arial" w:hAnsi="Arial" w:cs="Arial"/>
          <w:sz w:val="24"/>
          <w:szCs w:val="24"/>
        </w:rPr>
      </w:pPr>
      <w:r>
        <w:rPr>
          <w:rFonts w:ascii="Arial" w:eastAsia="Arial" w:hAnsi="Arial" w:cs="Arial"/>
          <w:color w:val="000000"/>
          <w:sz w:val="24"/>
          <w:szCs w:val="24"/>
        </w:rPr>
        <w:t>Multi-disciplinary literature review</w:t>
      </w:r>
    </w:p>
    <w:p w14:paraId="71ECA5D5"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shall undertake a l</w:t>
      </w:r>
      <w:r>
        <w:rPr>
          <w:rFonts w:ascii="Arial" w:eastAsia="Arial" w:hAnsi="Arial" w:cs="Arial"/>
          <w:b w:val="0"/>
          <w:color w:val="000000"/>
          <w:sz w:val="24"/>
          <w:szCs w:val="24"/>
        </w:rPr>
        <w:t>iterature review of research into the current equal pay and pay discrimination landscape, incorporating social research, legal research and other relevant disciplines.</w:t>
      </w:r>
    </w:p>
    <w:p w14:paraId="1EA2C1C2"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It is expected that the Supplier will have access to an array of literature including ca</w:t>
      </w:r>
      <w:r>
        <w:rPr>
          <w:rFonts w:ascii="Arial" w:eastAsia="Arial" w:hAnsi="Arial" w:cs="Arial"/>
          <w:b w:val="0"/>
          <w:color w:val="000000"/>
          <w:sz w:val="24"/>
          <w:szCs w:val="24"/>
        </w:rPr>
        <w:t>se law, academic, trade union and other relevant sources. The Supplier should consider the search terms and selection criteria (including methodology and other quality criteria) for inclusion in the review.</w:t>
      </w:r>
    </w:p>
    <w:p w14:paraId="64F0002C"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Authority expects that the majority of available research will relate to pay discrimination on the basis of sex and to claims made under the current equal pay scheme; however, the Supplier should also include research into pay discrimination on the bas</w:t>
      </w:r>
      <w:r>
        <w:rPr>
          <w:rFonts w:ascii="Arial" w:eastAsia="Arial" w:hAnsi="Arial" w:cs="Arial"/>
          <w:b w:val="0"/>
          <w:color w:val="000000"/>
          <w:sz w:val="24"/>
          <w:szCs w:val="24"/>
        </w:rPr>
        <w:t>is of disability and race. The Supplier should address the following questions, though the Authority is open to modifications and additional questions where necessary:</w:t>
      </w:r>
    </w:p>
    <w:p w14:paraId="664389E0"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r>
        <w:rPr>
          <w:rFonts w:ascii="Arial" w:eastAsia="Arial" w:hAnsi="Arial" w:cs="Arial"/>
          <w:b w:val="0"/>
          <w:sz w:val="24"/>
          <w:szCs w:val="24"/>
        </w:rPr>
        <w:lastRenderedPageBreak/>
        <w:t xml:space="preserve">What is the prevalence, patterns and characteristics of pay discrimination on the basis </w:t>
      </w:r>
      <w:r>
        <w:rPr>
          <w:rFonts w:ascii="Arial" w:eastAsia="Arial" w:hAnsi="Arial" w:cs="Arial"/>
          <w:b w:val="0"/>
          <w:sz w:val="24"/>
          <w:szCs w:val="24"/>
        </w:rPr>
        <w:t>of race, disability and sex in Great Britain? Consider:</w:t>
      </w:r>
    </w:p>
    <w:p w14:paraId="480D33CF" w14:textId="77777777" w:rsidR="00EC09F5" w:rsidRDefault="00035912">
      <w:pPr>
        <w:pStyle w:val="Heading3"/>
        <w:keepNext w:val="0"/>
        <w:keepLines w:val="0"/>
        <w:numPr>
          <w:ilvl w:val="2"/>
          <w:numId w:val="5"/>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Are there differences when comparing patterns of pay discrimination on the bases of race, disability and sex?</w:t>
      </w:r>
    </w:p>
    <w:p w14:paraId="3D897972" w14:textId="77777777" w:rsidR="00EC09F5" w:rsidRDefault="00035912">
      <w:pPr>
        <w:pStyle w:val="Heading3"/>
        <w:keepNext w:val="0"/>
        <w:keepLines w:val="0"/>
        <w:numPr>
          <w:ilvl w:val="2"/>
          <w:numId w:val="5"/>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Are there particular sectors of the economy where pay discrimination by race or by disabil</w:t>
      </w:r>
      <w:r>
        <w:rPr>
          <w:rFonts w:ascii="Arial" w:eastAsia="Arial" w:hAnsi="Arial" w:cs="Arial"/>
          <w:b w:val="0"/>
          <w:sz w:val="24"/>
          <w:szCs w:val="24"/>
        </w:rPr>
        <w:t>ity is more prevalent?</w:t>
      </w:r>
    </w:p>
    <w:p w14:paraId="5E04DDCF" w14:textId="77777777" w:rsidR="00EC09F5" w:rsidRDefault="00035912">
      <w:pPr>
        <w:pStyle w:val="Heading3"/>
        <w:keepNext w:val="0"/>
        <w:keepLines w:val="0"/>
        <w:numPr>
          <w:ilvl w:val="2"/>
          <w:numId w:val="5"/>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Are there particular employment types (e.g. outsourced services) where pay discrimination by race or by disability is more prevalent?</w:t>
      </w:r>
    </w:p>
    <w:p w14:paraId="7BBE2E67"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r>
        <w:rPr>
          <w:rFonts w:ascii="Arial" w:eastAsia="Arial" w:hAnsi="Arial" w:cs="Arial"/>
          <w:b w:val="0"/>
          <w:sz w:val="24"/>
          <w:szCs w:val="24"/>
        </w:rPr>
        <w:t>What are the barriers to redress and steps that could be taken to prevent pay discrimination and re</w:t>
      </w:r>
      <w:r>
        <w:rPr>
          <w:rFonts w:ascii="Arial" w:eastAsia="Arial" w:hAnsi="Arial" w:cs="Arial"/>
          <w:b w:val="0"/>
          <w:sz w:val="24"/>
          <w:szCs w:val="24"/>
        </w:rPr>
        <w:t>move barriers to redress (whether legal or otherwise)? Consider:</w:t>
      </w:r>
    </w:p>
    <w:p w14:paraId="4A072E50" w14:textId="77777777" w:rsidR="00EC09F5" w:rsidRDefault="00035912">
      <w:pPr>
        <w:pStyle w:val="Heading3"/>
        <w:keepNext w:val="0"/>
        <w:keepLines w:val="0"/>
        <w:numPr>
          <w:ilvl w:val="2"/>
          <w:numId w:val="4"/>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How many pay discrimination complaints or claims made under each characteristic achieve some form of redress; and what is the quality of the remedy?</w:t>
      </w:r>
    </w:p>
    <w:p w14:paraId="10888783" w14:textId="77777777" w:rsidR="00EC09F5" w:rsidRDefault="00035912">
      <w:pPr>
        <w:pStyle w:val="Heading3"/>
        <w:keepNext w:val="0"/>
        <w:keepLines w:val="0"/>
        <w:numPr>
          <w:ilvl w:val="2"/>
          <w:numId w:val="4"/>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What are the current avenues and barriers to legal redress for complaints of pay discrimination by sex, rac</w:t>
      </w:r>
      <w:r>
        <w:rPr>
          <w:rFonts w:ascii="Arial" w:eastAsia="Arial" w:hAnsi="Arial" w:cs="Arial"/>
          <w:b w:val="0"/>
          <w:sz w:val="24"/>
          <w:szCs w:val="24"/>
        </w:rPr>
        <w:t>e and disability; and how do they differ?</w:t>
      </w:r>
    </w:p>
    <w:p w14:paraId="60C354E6" w14:textId="77777777" w:rsidR="00EC09F5" w:rsidRDefault="00035912">
      <w:pPr>
        <w:pStyle w:val="Heading3"/>
        <w:keepNext w:val="0"/>
        <w:keepLines w:val="0"/>
        <w:numPr>
          <w:ilvl w:val="2"/>
          <w:numId w:val="4"/>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How could avenues be improved and barriers removed?</w:t>
      </w:r>
    </w:p>
    <w:p w14:paraId="409CF11E" w14:textId="77777777" w:rsidR="00EC09F5" w:rsidRDefault="00035912">
      <w:pPr>
        <w:pStyle w:val="Heading3"/>
        <w:keepNext w:val="0"/>
        <w:keepLines w:val="0"/>
        <w:numPr>
          <w:ilvl w:val="2"/>
          <w:numId w:val="4"/>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 xml:space="preserve">How is legislation enforced? Are there any barriers to effective enforcement and preventive measures that could strengthen enforcement? </w:t>
      </w:r>
    </w:p>
    <w:p w14:paraId="5FDAE583" w14:textId="77777777" w:rsidR="00EC09F5" w:rsidRDefault="00035912">
      <w:pPr>
        <w:pStyle w:val="Heading3"/>
        <w:keepNext w:val="0"/>
        <w:keepLines w:val="0"/>
        <w:numPr>
          <w:ilvl w:val="2"/>
          <w:numId w:val="4"/>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Are there any current cha</w:t>
      </w:r>
      <w:r>
        <w:rPr>
          <w:rFonts w:ascii="Arial" w:eastAsia="Arial" w:hAnsi="Arial" w:cs="Arial"/>
          <w:b w:val="0"/>
          <w:sz w:val="24"/>
          <w:szCs w:val="24"/>
        </w:rPr>
        <w:t>llenges with who can bring a pay discrimination claim, and how can these be mitigated?</w:t>
      </w:r>
    </w:p>
    <w:p w14:paraId="6BA3B5B8" w14:textId="77777777" w:rsidR="00EC09F5" w:rsidRDefault="00035912">
      <w:pPr>
        <w:pStyle w:val="Heading3"/>
        <w:keepNext w:val="0"/>
        <w:keepLines w:val="0"/>
        <w:numPr>
          <w:ilvl w:val="2"/>
          <w:numId w:val="4"/>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Are there any particular discriminatory pay practices or barriers to redress associated with the outsourcing of services; and how can these be addressed?</w:t>
      </w:r>
    </w:p>
    <w:p w14:paraId="027F399A" w14:textId="77777777" w:rsidR="00EC09F5" w:rsidRDefault="00035912">
      <w:pPr>
        <w:pStyle w:val="Heading3"/>
        <w:keepNext w:val="0"/>
        <w:keepLines w:val="0"/>
        <w:numPr>
          <w:ilvl w:val="2"/>
          <w:numId w:val="4"/>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Are there any e</w:t>
      </w:r>
      <w:r>
        <w:rPr>
          <w:rFonts w:ascii="Arial" w:eastAsia="Arial" w:hAnsi="Arial" w:cs="Arial"/>
          <w:b w:val="0"/>
          <w:sz w:val="24"/>
          <w:szCs w:val="24"/>
        </w:rPr>
        <w:t>xamples of good practice, including internationally, that could be drawn upon?</w:t>
      </w:r>
    </w:p>
    <w:p w14:paraId="65D16FD5"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literature review should be provided to the Authority by the deadline outlined in “7. Lot 1 - Key Milestones and Deliverables”. The Supplier should consider a realistic time</w:t>
      </w:r>
      <w:r>
        <w:rPr>
          <w:rFonts w:ascii="Arial" w:eastAsia="Arial" w:hAnsi="Arial" w:cs="Arial"/>
          <w:b w:val="0"/>
          <w:color w:val="000000"/>
          <w:sz w:val="24"/>
          <w:szCs w:val="24"/>
        </w:rPr>
        <w:t>line to allow time for review and comment from the Authority and relevant stakeholders prior to this deadline.</w:t>
      </w:r>
    </w:p>
    <w:p w14:paraId="2EBC22A3"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It should be noted that the review will need to stand up to public scrutiny. The Supplier should therefore pay close attention to technical matte</w:t>
      </w:r>
      <w:r>
        <w:rPr>
          <w:rFonts w:ascii="Arial" w:eastAsia="Arial" w:hAnsi="Arial" w:cs="Arial"/>
          <w:b w:val="0"/>
          <w:color w:val="000000"/>
          <w:sz w:val="24"/>
          <w:szCs w:val="24"/>
        </w:rPr>
        <w:t>rs such as rigour and validity, quality assurance, and avoid bias.</w:t>
      </w:r>
    </w:p>
    <w:p w14:paraId="0289930C" w14:textId="77777777" w:rsidR="00EC09F5" w:rsidRDefault="00035912">
      <w:pPr>
        <w:numPr>
          <w:ilvl w:val="1"/>
          <w:numId w:val="9"/>
        </w:numPr>
        <w:spacing w:after="240" w:line="240" w:lineRule="auto"/>
        <w:rPr>
          <w:rFonts w:ascii="Arial" w:eastAsia="Arial" w:hAnsi="Arial" w:cs="Arial"/>
          <w:b/>
          <w:sz w:val="24"/>
          <w:szCs w:val="24"/>
        </w:rPr>
      </w:pPr>
      <w:r>
        <w:rPr>
          <w:rFonts w:ascii="Arial" w:eastAsia="Arial" w:hAnsi="Arial" w:cs="Arial"/>
          <w:b/>
          <w:sz w:val="24"/>
          <w:szCs w:val="24"/>
        </w:rPr>
        <w:lastRenderedPageBreak/>
        <w:t>Access and select appropriate cases</w:t>
      </w:r>
    </w:p>
    <w:p w14:paraId="72DADFF0"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b w:val="0"/>
          <w:color w:val="000000"/>
          <w:sz w:val="24"/>
          <w:szCs w:val="24"/>
        </w:rPr>
        <w:t>The Supplier shall identify and establish relationships with organisations holding records of queries, complaints and cases relating to pay discriminatio</w:t>
      </w:r>
      <w:r>
        <w:rPr>
          <w:rFonts w:ascii="Arial" w:eastAsia="Arial" w:hAnsi="Arial" w:cs="Arial"/>
          <w:b w:val="0"/>
          <w:color w:val="000000"/>
          <w:sz w:val="24"/>
          <w:szCs w:val="24"/>
        </w:rPr>
        <w:t xml:space="preserve">n for the purposes of this research. This may include organisations providing advice, support, arbitration, conciliation, representation and other such services where discrimination is suspected or alleged. The Authority has established relationships with </w:t>
      </w:r>
      <w:r>
        <w:rPr>
          <w:rFonts w:ascii="Arial" w:eastAsia="Arial" w:hAnsi="Arial" w:cs="Arial"/>
          <w:b w:val="0"/>
          <w:color w:val="000000"/>
          <w:sz w:val="24"/>
          <w:szCs w:val="24"/>
        </w:rPr>
        <w:t>a number of organisations who undertake such activity and hold such records and, where this is the case, will support the Supplier in establishing these relationships and securing agreement to access the relevant data. This management information will comp</w:t>
      </w:r>
      <w:r>
        <w:rPr>
          <w:rFonts w:ascii="Arial" w:eastAsia="Arial" w:hAnsi="Arial" w:cs="Arial"/>
          <w:b w:val="0"/>
          <w:color w:val="000000"/>
          <w:sz w:val="24"/>
          <w:szCs w:val="24"/>
        </w:rPr>
        <w:t>rise the sample frame from which the Supplier shall select cases. In relation to Lot 1, the Supplier should ensure that the organisations they partner with reflect the need to mitigate against workers' potentially low propensity to bring pay discrimination</w:t>
      </w:r>
      <w:r>
        <w:rPr>
          <w:rFonts w:ascii="Arial" w:eastAsia="Arial" w:hAnsi="Arial" w:cs="Arial"/>
          <w:b w:val="0"/>
          <w:color w:val="000000"/>
          <w:sz w:val="24"/>
          <w:szCs w:val="24"/>
        </w:rPr>
        <w:t xml:space="preserve"> complaints on the basis of race or disability. As part of this, the Supplier should seek out organisations that will ensure a breadth of coverage. Selection of cases should be discussed with the Authority to ensure that all aspects of pay discrimination a</w:t>
      </w:r>
      <w:r>
        <w:rPr>
          <w:rFonts w:ascii="Arial" w:eastAsia="Arial" w:hAnsi="Arial" w:cs="Arial"/>
          <w:b w:val="0"/>
          <w:color w:val="000000"/>
          <w:sz w:val="24"/>
          <w:szCs w:val="24"/>
        </w:rPr>
        <w:t>re covered.</w:t>
      </w:r>
    </w:p>
    <w:p w14:paraId="51CDFD50"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Authority requires the Supplier to source and access pay discrimination complaints (whether successful or not) on the basis of race, disability and sex. Where these have been brought or formulated as legal claims, they may have been brought</w:t>
      </w:r>
      <w:r>
        <w:rPr>
          <w:rFonts w:ascii="Arial" w:eastAsia="Arial" w:hAnsi="Arial" w:cs="Arial"/>
          <w:b w:val="0"/>
          <w:color w:val="000000"/>
          <w:sz w:val="24"/>
          <w:szCs w:val="24"/>
        </w:rPr>
        <w:t xml:space="preserve"> under a range of provisions in the Equality Act 2010, as set out below. Any costs associated with accessing cases should be included in the core contract price.</w:t>
      </w:r>
    </w:p>
    <w:p w14:paraId="667BD208"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Authority requires a variety of cases to provide a broad picture of complaints by employee</w:t>
      </w:r>
      <w:r>
        <w:rPr>
          <w:rFonts w:ascii="Arial" w:eastAsia="Arial" w:hAnsi="Arial" w:cs="Arial"/>
          <w:b w:val="0"/>
          <w:color w:val="000000"/>
          <w:sz w:val="24"/>
          <w:szCs w:val="24"/>
        </w:rPr>
        <w:t>s across Great Britain. The sample of claims should cover a range of pay discrimination cases relating to people from different ethnic backgrounds and different types of impairments or health conditions and barriers as well as cases of pay discrimination b</w:t>
      </w:r>
      <w:r>
        <w:rPr>
          <w:rFonts w:ascii="Arial" w:eastAsia="Arial" w:hAnsi="Arial" w:cs="Arial"/>
          <w:b w:val="0"/>
          <w:color w:val="000000"/>
          <w:sz w:val="24"/>
          <w:szCs w:val="24"/>
        </w:rPr>
        <w:t xml:space="preserve">y sex. </w:t>
      </w:r>
    </w:p>
    <w:p w14:paraId="3735734B"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bookmarkStart w:id="13" w:name="_heading=h.lnxbz9" w:colFirst="0" w:colLast="0"/>
      <w:bookmarkEnd w:id="13"/>
      <w:r>
        <w:rPr>
          <w:rFonts w:ascii="Arial" w:eastAsia="Arial" w:hAnsi="Arial" w:cs="Arial"/>
          <w:b w:val="0"/>
          <w:color w:val="000000"/>
          <w:sz w:val="24"/>
          <w:szCs w:val="24"/>
        </w:rPr>
        <w:t>At present, with only narrow exceptions, sex discrimination claims brought to the Employment Tribunal in relation to contractual pay must be brought as equal pay claims. These have their own, bespoke, legal requirements and procedures. In contrast,</w:t>
      </w:r>
      <w:r>
        <w:rPr>
          <w:rFonts w:ascii="Arial" w:eastAsia="Arial" w:hAnsi="Arial" w:cs="Arial"/>
          <w:b w:val="0"/>
          <w:color w:val="000000"/>
          <w:sz w:val="24"/>
          <w:szCs w:val="24"/>
        </w:rPr>
        <w:t xml:space="preserve"> someone who has experienced race or disability discrimination in relation to contractual pay is able to bring a claim under the Equality Act 2010’s direct discrimination or indirect discrimination provisions. In the case of disability, they may also be ab</w:t>
      </w:r>
      <w:r>
        <w:rPr>
          <w:rFonts w:ascii="Arial" w:eastAsia="Arial" w:hAnsi="Arial" w:cs="Arial"/>
          <w:b w:val="0"/>
          <w:color w:val="000000"/>
          <w:sz w:val="24"/>
          <w:szCs w:val="24"/>
        </w:rPr>
        <w:t xml:space="preserve">le to bring claims under the Act’s provisions on discrimination arising from disability or potentially reasonable adjustment provisions. </w:t>
      </w:r>
    </w:p>
    <w:p w14:paraId="1894DDC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Initial exploration has suggested that understanding more about the prevalence of pay discrimination on the basis of r</w:t>
      </w:r>
      <w:r>
        <w:rPr>
          <w:rFonts w:ascii="Arial" w:eastAsia="Arial" w:hAnsi="Arial" w:cs="Arial"/>
          <w:b w:val="0"/>
          <w:color w:val="000000"/>
          <w:sz w:val="24"/>
          <w:szCs w:val="24"/>
        </w:rPr>
        <w:t>ace and disability in certain types of workplaces, employers, areas of the economy and particular scenarios would be particularly worthwhile. These include:</w:t>
      </w:r>
    </w:p>
    <w:p w14:paraId="220D442F"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r>
        <w:rPr>
          <w:rFonts w:ascii="Arial" w:eastAsia="Arial" w:hAnsi="Arial" w:cs="Arial"/>
          <w:b w:val="0"/>
          <w:sz w:val="24"/>
          <w:szCs w:val="24"/>
        </w:rPr>
        <w:t>Race</w:t>
      </w:r>
    </w:p>
    <w:p w14:paraId="71FD8295" w14:textId="77777777" w:rsidR="00EC09F5" w:rsidRDefault="00035912">
      <w:pPr>
        <w:pStyle w:val="Heading3"/>
        <w:keepNext w:val="0"/>
        <w:keepLines w:val="0"/>
        <w:numPr>
          <w:ilvl w:val="2"/>
          <w:numId w:val="3"/>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lastRenderedPageBreak/>
        <w:t>fissured workplaces</w:t>
      </w:r>
    </w:p>
    <w:p w14:paraId="25878138" w14:textId="77777777" w:rsidR="00EC09F5" w:rsidRDefault="00035912">
      <w:pPr>
        <w:pStyle w:val="Heading3"/>
        <w:keepNext w:val="0"/>
        <w:keepLines w:val="0"/>
        <w:numPr>
          <w:ilvl w:val="2"/>
          <w:numId w:val="3"/>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sectors with a record of poor working conditions and labour market non-com</w:t>
      </w:r>
      <w:r>
        <w:rPr>
          <w:rFonts w:ascii="Arial" w:eastAsia="Arial" w:hAnsi="Arial" w:cs="Arial"/>
          <w:b w:val="0"/>
          <w:sz w:val="24"/>
          <w:szCs w:val="24"/>
        </w:rPr>
        <w:t>pliance</w:t>
      </w:r>
    </w:p>
    <w:p w14:paraId="5A751B2E" w14:textId="77777777" w:rsidR="00EC09F5" w:rsidRDefault="00035912">
      <w:pPr>
        <w:pStyle w:val="Heading3"/>
        <w:keepNext w:val="0"/>
        <w:keepLines w:val="0"/>
        <w:numPr>
          <w:ilvl w:val="2"/>
          <w:numId w:val="3"/>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occupation groups, employers and workplaces in which particular ethnic groups or migrant workers are overrepresented</w:t>
      </w:r>
    </w:p>
    <w:p w14:paraId="59A0ABBF"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r>
        <w:rPr>
          <w:rFonts w:ascii="Arial" w:eastAsia="Arial" w:hAnsi="Arial" w:cs="Arial"/>
          <w:b w:val="0"/>
          <w:sz w:val="24"/>
          <w:szCs w:val="24"/>
        </w:rPr>
        <w:t>Disability</w:t>
      </w:r>
    </w:p>
    <w:p w14:paraId="03E997C8" w14:textId="77777777" w:rsidR="00EC09F5" w:rsidRDefault="00035912">
      <w:pPr>
        <w:pStyle w:val="Heading3"/>
        <w:keepNext w:val="0"/>
        <w:keepLines w:val="0"/>
        <w:numPr>
          <w:ilvl w:val="2"/>
          <w:numId w:val="7"/>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the use of performance-related pay schemes</w:t>
      </w:r>
    </w:p>
    <w:p w14:paraId="33707B85" w14:textId="77777777" w:rsidR="00EC09F5" w:rsidRDefault="00035912">
      <w:pPr>
        <w:pStyle w:val="Heading3"/>
        <w:keepNext w:val="0"/>
        <w:keepLines w:val="0"/>
        <w:numPr>
          <w:ilvl w:val="2"/>
          <w:numId w:val="7"/>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 xml:space="preserve">the implementation of reasonable adjustment policies </w:t>
      </w:r>
    </w:p>
    <w:p w14:paraId="7D3F6911" w14:textId="77777777" w:rsidR="00EC09F5" w:rsidRDefault="00035912">
      <w:pPr>
        <w:pStyle w:val="Heading3"/>
        <w:keepNext w:val="0"/>
        <w:keepLines w:val="0"/>
        <w:numPr>
          <w:ilvl w:val="2"/>
          <w:numId w:val="7"/>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The sample of claims should cover a range of sectors, employer types and sizes of businesses with particular emphasis on the sectors and types listed above for pay discrimination workstreams.</w:t>
      </w:r>
    </w:p>
    <w:p w14:paraId="04AEA385"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w:t>
      </w:r>
      <w:r>
        <w:rPr>
          <w:rFonts w:ascii="Arial" w:eastAsia="Arial" w:hAnsi="Arial" w:cs="Arial"/>
          <w:b w:val="0"/>
          <w:color w:val="000000"/>
          <w:sz w:val="24"/>
          <w:szCs w:val="24"/>
        </w:rPr>
        <w:t>er must ensure the sample of cases covers outsourced workers as well as those who meet the definition of employment under the Equality Act 2010.</w:t>
      </w:r>
    </w:p>
    <w:p w14:paraId="3AC3DFFC"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The Supplier should also ensure the sample of cases covers </w:t>
      </w:r>
    </w:p>
    <w:p w14:paraId="0774A902" w14:textId="77777777" w:rsidR="00EC09F5" w:rsidRDefault="00035912">
      <w:pPr>
        <w:pStyle w:val="Heading3"/>
        <w:keepNext w:val="0"/>
        <w:keepLines w:val="0"/>
        <w:numPr>
          <w:ilvl w:val="2"/>
          <w:numId w:val="12"/>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different sectors of the economy</w:t>
      </w:r>
    </w:p>
    <w:p w14:paraId="218458C4" w14:textId="77777777" w:rsidR="00EC09F5" w:rsidRDefault="00035912">
      <w:pPr>
        <w:pStyle w:val="Heading3"/>
        <w:keepNext w:val="0"/>
        <w:keepLines w:val="0"/>
        <w:numPr>
          <w:ilvl w:val="2"/>
          <w:numId w:val="12"/>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different employer types and sizes</w:t>
      </w:r>
    </w:p>
    <w:p w14:paraId="6D4E2307" w14:textId="77777777" w:rsidR="00EC09F5" w:rsidRDefault="00035912">
      <w:pPr>
        <w:pStyle w:val="Heading3"/>
        <w:keepNext w:val="0"/>
        <w:keepLines w:val="0"/>
        <w:numPr>
          <w:ilvl w:val="2"/>
          <w:numId w:val="12"/>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a broad geographical area, including rural and urban areas.</w:t>
      </w:r>
    </w:p>
    <w:p w14:paraId="69A2BCD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should provide regular reviews of coverage to the Authority to help identify and close any gaps or mitigate risks o</w:t>
      </w:r>
      <w:r>
        <w:rPr>
          <w:rFonts w:ascii="Arial" w:eastAsia="Arial" w:hAnsi="Arial" w:cs="Arial"/>
          <w:b w:val="0"/>
          <w:color w:val="000000"/>
          <w:sz w:val="24"/>
          <w:szCs w:val="24"/>
        </w:rPr>
        <w:t>f non-availability.</w:t>
      </w:r>
    </w:p>
    <w:p w14:paraId="2333D409" w14:textId="77777777" w:rsidR="00EC09F5" w:rsidRDefault="00035912">
      <w:pPr>
        <w:numPr>
          <w:ilvl w:val="1"/>
          <w:numId w:val="9"/>
        </w:numPr>
        <w:spacing w:after="240" w:line="240" w:lineRule="auto"/>
        <w:rPr>
          <w:rFonts w:ascii="Arial" w:eastAsia="Arial" w:hAnsi="Arial" w:cs="Arial"/>
          <w:b/>
          <w:sz w:val="24"/>
          <w:szCs w:val="24"/>
        </w:rPr>
      </w:pPr>
      <w:r>
        <w:rPr>
          <w:rFonts w:ascii="Arial" w:eastAsia="Arial" w:hAnsi="Arial" w:cs="Arial"/>
          <w:b/>
          <w:sz w:val="24"/>
          <w:szCs w:val="24"/>
        </w:rPr>
        <w:t>Analysis</w:t>
      </w:r>
    </w:p>
    <w:p w14:paraId="165A12C5"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shall develop an analytical framework for Lot 1 in collaboration with the Authority to ensure all aspects of the policy requirements are covered and defined appropriately.</w:t>
      </w:r>
    </w:p>
    <w:p w14:paraId="188EDD92"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analytical framework will include an o</w:t>
      </w:r>
      <w:r>
        <w:rPr>
          <w:rFonts w:ascii="Arial" w:eastAsia="Arial" w:hAnsi="Arial" w:cs="Arial"/>
          <w:b w:val="0"/>
          <w:color w:val="000000"/>
          <w:sz w:val="24"/>
          <w:szCs w:val="24"/>
        </w:rPr>
        <w:t xml:space="preserve">utline of the quality assurance the supplier will carry out and how they will ensure the analysis and outputs comply with the </w:t>
      </w:r>
      <w:hyperlink r:id="rId9">
        <w:r>
          <w:rPr>
            <w:rFonts w:ascii="Arial" w:eastAsia="Arial" w:hAnsi="Arial" w:cs="Arial"/>
            <w:b w:val="0"/>
            <w:color w:val="0000FF"/>
            <w:sz w:val="24"/>
            <w:szCs w:val="24"/>
            <w:u w:val="single"/>
          </w:rPr>
          <w:t>Aqua Book.</w:t>
        </w:r>
      </w:hyperlink>
      <w:r>
        <w:rPr>
          <w:rFonts w:ascii="Arial" w:eastAsia="Arial" w:hAnsi="Arial" w:cs="Arial"/>
          <w:b w:val="0"/>
          <w:color w:val="000000"/>
          <w:sz w:val="24"/>
          <w:szCs w:val="24"/>
        </w:rPr>
        <w:t xml:space="preserve"> This is essential for providing the Authority with reasonable assurance of the quality of the work.</w:t>
      </w:r>
    </w:p>
    <w:p w14:paraId="3BD6E0E3"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thematic analysis will provide key evidence to inform ways to address pay discrimination on the basis of race and disability. It should build</w:t>
      </w:r>
      <w:r>
        <w:rPr>
          <w:rFonts w:ascii="Arial" w:eastAsia="Arial" w:hAnsi="Arial" w:cs="Arial"/>
          <w:b w:val="0"/>
          <w:color w:val="000000"/>
          <w:sz w:val="24"/>
          <w:szCs w:val="24"/>
        </w:rPr>
        <w:t xml:space="preserve"> on findings from the literature review and provide actionable insights for developing the legislation. Emerging findings should be shared with the Authority as soon as available in order to inform key policy decisions.</w:t>
      </w:r>
    </w:p>
    <w:p w14:paraId="3D7E3CCE"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lastRenderedPageBreak/>
        <w:t xml:space="preserve">The Supplier shall conduct thematic </w:t>
      </w:r>
      <w:r>
        <w:rPr>
          <w:rFonts w:ascii="Arial" w:eastAsia="Arial" w:hAnsi="Arial" w:cs="Arial"/>
          <w:b w:val="0"/>
          <w:color w:val="000000"/>
          <w:sz w:val="24"/>
          <w:szCs w:val="24"/>
        </w:rPr>
        <w:t>analysis on the cases in relation to the overarching research questions and sub-questions detailed below. The Supplier shall also identify and incorporate emerging themes that are relevant to the subjects and questions throughout the data analysis process.</w:t>
      </w:r>
      <w:r>
        <w:rPr>
          <w:rFonts w:ascii="Arial" w:eastAsia="Arial" w:hAnsi="Arial" w:cs="Arial"/>
          <w:b w:val="0"/>
          <w:color w:val="000000"/>
          <w:sz w:val="24"/>
          <w:szCs w:val="24"/>
        </w:rPr>
        <w:t xml:space="preserve"> </w:t>
      </w:r>
    </w:p>
    <w:p w14:paraId="2EEF8A98"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should address the following questions, though the Authority is open to modifications and additional questions where necessary:</w:t>
      </w:r>
    </w:p>
    <w:p w14:paraId="36A4C84E"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r>
        <w:rPr>
          <w:rFonts w:ascii="Arial" w:eastAsia="Arial" w:hAnsi="Arial" w:cs="Arial"/>
          <w:b w:val="0"/>
          <w:sz w:val="24"/>
          <w:szCs w:val="24"/>
        </w:rPr>
        <w:t>What are the characteristics of pay discrimination on the basis of race, disability and sex in Great Britain? Con</w:t>
      </w:r>
      <w:r>
        <w:rPr>
          <w:rFonts w:ascii="Arial" w:eastAsia="Arial" w:hAnsi="Arial" w:cs="Arial"/>
          <w:b w:val="0"/>
          <w:sz w:val="24"/>
          <w:szCs w:val="24"/>
        </w:rPr>
        <w:t>sider:</w:t>
      </w:r>
    </w:p>
    <w:p w14:paraId="6AA51F11" w14:textId="77777777" w:rsidR="00EC09F5" w:rsidRDefault="00035912">
      <w:pPr>
        <w:pStyle w:val="Heading3"/>
        <w:keepNext w:val="0"/>
        <w:keepLines w:val="0"/>
        <w:numPr>
          <w:ilvl w:val="2"/>
          <w:numId w:val="17"/>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Can any employee or work characteristics be identified as being associated with pay discrimination by sex, race or disability (or employees making complaints about it)? For example, role-type, contract or personal factors.</w:t>
      </w:r>
    </w:p>
    <w:p w14:paraId="5BA5BAFF" w14:textId="77777777" w:rsidR="00EC09F5" w:rsidRDefault="00035912">
      <w:pPr>
        <w:pStyle w:val="Heading3"/>
        <w:keepNext w:val="0"/>
        <w:keepLines w:val="0"/>
        <w:numPr>
          <w:ilvl w:val="2"/>
          <w:numId w:val="17"/>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Can any employer or workplace cha</w:t>
      </w:r>
      <w:r>
        <w:rPr>
          <w:rFonts w:ascii="Arial" w:eastAsia="Arial" w:hAnsi="Arial" w:cs="Arial"/>
          <w:b w:val="0"/>
          <w:sz w:val="24"/>
          <w:szCs w:val="24"/>
        </w:rPr>
        <w:t xml:space="preserve">racteristics be identified as being associated with pay discrimination by sex, race or disability (or employees making complaints about it)? For example, organisational structure or workplace policies. </w:t>
      </w:r>
    </w:p>
    <w:p w14:paraId="0003B117" w14:textId="77777777" w:rsidR="00EC09F5" w:rsidRDefault="00035912">
      <w:pPr>
        <w:pStyle w:val="Heading3"/>
        <w:keepNext w:val="0"/>
        <w:keepLines w:val="0"/>
        <w:numPr>
          <w:ilvl w:val="2"/>
          <w:numId w:val="17"/>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 xml:space="preserve">What are the patterns and characteristics of the pay </w:t>
      </w:r>
      <w:r>
        <w:rPr>
          <w:rFonts w:ascii="Arial" w:eastAsia="Arial" w:hAnsi="Arial" w:cs="Arial"/>
          <w:b w:val="0"/>
          <w:sz w:val="24"/>
          <w:szCs w:val="24"/>
        </w:rPr>
        <w:t>discrimination that occurred by sex, race and disability, including any differences there may be when comparing patterns of pay discrimination on the basis of race, disability and sex?</w:t>
      </w:r>
    </w:p>
    <w:p w14:paraId="28AD7AC6" w14:textId="77777777" w:rsidR="00EC09F5" w:rsidRDefault="00035912">
      <w:pPr>
        <w:pStyle w:val="Heading3"/>
        <w:keepNext w:val="0"/>
        <w:keepLines w:val="0"/>
        <w:numPr>
          <w:ilvl w:val="2"/>
          <w:numId w:val="17"/>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Is pay discrimination on the basis of race, disability or sex more prev</w:t>
      </w:r>
      <w:r>
        <w:rPr>
          <w:rFonts w:ascii="Arial" w:eastAsia="Arial" w:hAnsi="Arial" w:cs="Arial"/>
          <w:b w:val="0"/>
          <w:sz w:val="24"/>
          <w:szCs w:val="24"/>
        </w:rPr>
        <w:t>alent in particular sectors, labour supply chains, employer types, or other categories of work?</w:t>
      </w:r>
    </w:p>
    <w:p w14:paraId="224BD959"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r>
        <w:rPr>
          <w:rFonts w:ascii="Arial" w:eastAsia="Arial" w:hAnsi="Arial" w:cs="Arial"/>
          <w:b w:val="0"/>
          <w:sz w:val="24"/>
          <w:szCs w:val="24"/>
        </w:rPr>
        <w:t>What are the barriers to redress and steps that could be taken to prevent pay discrimination and remove barriers to redress (whether legal or otherwise) and str</w:t>
      </w:r>
      <w:r>
        <w:rPr>
          <w:rFonts w:ascii="Arial" w:eastAsia="Arial" w:hAnsi="Arial" w:cs="Arial"/>
          <w:b w:val="0"/>
          <w:sz w:val="24"/>
          <w:szCs w:val="24"/>
        </w:rPr>
        <w:t>engthen enforcement? Consider:</w:t>
      </w:r>
    </w:p>
    <w:p w14:paraId="52DDDD59" w14:textId="77777777" w:rsidR="00EC09F5" w:rsidRDefault="00035912">
      <w:pPr>
        <w:pStyle w:val="Heading3"/>
        <w:keepNext w:val="0"/>
        <w:keepLines w:val="0"/>
        <w:numPr>
          <w:ilvl w:val="2"/>
          <w:numId w:val="14"/>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Do pay discrimination claims by sex, race or disability achieve adequate redress? How do cases that are brought to the Employment Tribunal compare to those that are not?</w:t>
      </w:r>
    </w:p>
    <w:p w14:paraId="24816F65" w14:textId="77777777" w:rsidR="00EC09F5" w:rsidRDefault="00035912">
      <w:pPr>
        <w:pStyle w:val="Heading3"/>
        <w:keepNext w:val="0"/>
        <w:keepLines w:val="0"/>
        <w:numPr>
          <w:ilvl w:val="2"/>
          <w:numId w:val="14"/>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What are the barriers to redress for each avenue? and h</w:t>
      </w:r>
      <w:r>
        <w:rPr>
          <w:rFonts w:ascii="Arial" w:eastAsia="Arial" w:hAnsi="Arial" w:cs="Arial"/>
          <w:b w:val="0"/>
          <w:sz w:val="24"/>
          <w:szCs w:val="24"/>
        </w:rPr>
        <w:t>ow can these be mitigated?</w:t>
      </w:r>
    </w:p>
    <w:p w14:paraId="149B3F93" w14:textId="77777777" w:rsidR="00EC09F5" w:rsidRDefault="00035912">
      <w:pPr>
        <w:pStyle w:val="Heading3"/>
        <w:keepNext w:val="0"/>
        <w:keepLines w:val="0"/>
        <w:numPr>
          <w:ilvl w:val="2"/>
          <w:numId w:val="14"/>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Are there any current challenges with who can bring a pay discrimination claim, and how can these be mitigated?</w:t>
      </w:r>
    </w:p>
    <w:p w14:paraId="22E2A1A0" w14:textId="77777777" w:rsidR="00EC09F5" w:rsidRDefault="00035912">
      <w:pPr>
        <w:pStyle w:val="Heading3"/>
        <w:keepNext w:val="0"/>
        <w:keepLines w:val="0"/>
        <w:numPr>
          <w:ilvl w:val="2"/>
          <w:numId w:val="14"/>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What steps could be taken to prevent pay discrimination and remove barriers to redress? For example, what would be th</w:t>
      </w:r>
      <w:r>
        <w:rPr>
          <w:rFonts w:ascii="Arial" w:eastAsia="Arial" w:hAnsi="Arial" w:cs="Arial"/>
          <w:b w:val="0"/>
          <w:sz w:val="24"/>
          <w:szCs w:val="24"/>
        </w:rPr>
        <w:t>e potential impact of different enforcement models, the introduction of proactive requirements on employers, and the Government’s proposed steps (set out at 4.1)? This should include the potential impact of any such steps on the prevalence of pay discrimin</w:t>
      </w:r>
      <w:r>
        <w:rPr>
          <w:rFonts w:ascii="Arial" w:eastAsia="Arial" w:hAnsi="Arial" w:cs="Arial"/>
          <w:b w:val="0"/>
          <w:sz w:val="24"/>
          <w:szCs w:val="24"/>
        </w:rPr>
        <w:t xml:space="preserve">ation, the experience in </w:t>
      </w:r>
      <w:r>
        <w:rPr>
          <w:rFonts w:ascii="Arial" w:eastAsia="Arial" w:hAnsi="Arial" w:cs="Arial"/>
          <w:b w:val="0"/>
          <w:sz w:val="24"/>
          <w:szCs w:val="24"/>
        </w:rPr>
        <w:lastRenderedPageBreak/>
        <w:t>seeking redress, as well as the impact on employers and the justice system.</w:t>
      </w:r>
    </w:p>
    <w:p w14:paraId="6B5F4BF1" w14:textId="77777777" w:rsidR="00EC09F5" w:rsidRDefault="00035912">
      <w:pPr>
        <w:numPr>
          <w:ilvl w:val="1"/>
          <w:numId w:val="9"/>
        </w:numPr>
        <w:spacing w:after="240" w:line="240" w:lineRule="auto"/>
        <w:rPr>
          <w:rFonts w:ascii="Arial" w:eastAsia="Arial" w:hAnsi="Arial" w:cs="Arial"/>
          <w:b/>
          <w:sz w:val="24"/>
          <w:szCs w:val="24"/>
        </w:rPr>
      </w:pPr>
      <w:r>
        <w:rPr>
          <w:rFonts w:ascii="Arial" w:eastAsia="Arial" w:hAnsi="Arial" w:cs="Arial"/>
          <w:b/>
          <w:sz w:val="24"/>
          <w:szCs w:val="24"/>
        </w:rPr>
        <w:t>Advisory group</w:t>
      </w:r>
    </w:p>
    <w:p w14:paraId="41F14E11"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Authority is commissioning separate research into people’s lived experience of pay discrimination on the basis of race, disability and s</w:t>
      </w:r>
      <w:r>
        <w:rPr>
          <w:rFonts w:ascii="Arial" w:eastAsia="Arial" w:hAnsi="Arial" w:cs="Arial"/>
          <w:b w:val="0"/>
          <w:color w:val="000000"/>
          <w:sz w:val="24"/>
          <w:szCs w:val="24"/>
        </w:rPr>
        <w:t xml:space="preserve">ex; and lived experience of combined discrimination. To ensure coherence and socio-legal expertise across both the socio-legal and lived experience research, the Authority requires the Supplier to coordinate and participate in an advisory group overseeing </w:t>
      </w:r>
      <w:r>
        <w:rPr>
          <w:rFonts w:ascii="Arial" w:eastAsia="Arial" w:hAnsi="Arial" w:cs="Arial"/>
          <w:b w:val="0"/>
          <w:color w:val="000000"/>
          <w:sz w:val="24"/>
          <w:szCs w:val="24"/>
        </w:rPr>
        <w:t>the lived experience research.</w:t>
      </w:r>
    </w:p>
    <w:p w14:paraId="614CC335"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will be required to provide constructive feedback on topic guides, coding frameworks and interim results produced by the Supplier(s) of the lived experience research.</w:t>
      </w:r>
    </w:p>
    <w:p w14:paraId="58E9AAB5" w14:textId="77777777" w:rsidR="00EC09F5" w:rsidRDefault="00035912">
      <w:pPr>
        <w:numPr>
          <w:ilvl w:val="1"/>
          <w:numId w:val="9"/>
        </w:numPr>
        <w:spacing w:after="240" w:line="240" w:lineRule="auto"/>
        <w:rPr>
          <w:rFonts w:ascii="Arial" w:eastAsia="Arial" w:hAnsi="Arial" w:cs="Arial"/>
          <w:b/>
          <w:sz w:val="24"/>
          <w:szCs w:val="24"/>
        </w:rPr>
      </w:pPr>
      <w:r>
        <w:rPr>
          <w:rFonts w:ascii="Arial" w:eastAsia="Arial" w:hAnsi="Arial" w:cs="Arial"/>
          <w:b/>
          <w:sz w:val="24"/>
          <w:szCs w:val="24"/>
        </w:rPr>
        <w:t>Interim findings</w:t>
      </w:r>
    </w:p>
    <w:p w14:paraId="1746D585"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shall provide interim findings to the Authority by the deadlines outlined in “7. Key Milestones and Deliverables”. These findings shall be used for internal purposes only at this stage, therefore outputs do not need to be fully complete or ful</w:t>
      </w:r>
      <w:r>
        <w:rPr>
          <w:rFonts w:ascii="Arial" w:eastAsia="Arial" w:hAnsi="Arial" w:cs="Arial"/>
          <w:b w:val="0"/>
          <w:color w:val="000000"/>
          <w:sz w:val="24"/>
          <w:szCs w:val="24"/>
        </w:rPr>
        <w:t xml:space="preserve">ly formatted. However, they should be fully quality-assured and presented in a clear and accessible manner so that they can be shared with internal colleagues and stakeholders where necessary. </w:t>
      </w:r>
    </w:p>
    <w:p w14:paraId="137A1B26"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should hold an informal discussion or presentatio</w:t>
      </w:r>
      <w:r>
        <w:rPr>
          <w:rFonts w:ascii="Arial" w:eastAsia="Arial" w:hAnsi="Arial" w:cs="Arial"/>
          <w:b w:val="0"/>
          <w:color w:val="000000"/>
          <w:sz w:val="24"/>
          <w:szCs w:val="24"/>
        </w:rPr>
        <w:t>n of findings with the Authority on the interim findings to aid understanding, clarify the scope and focus of analysis, and ensure that policy questions of interest are covered where possible.</w:t>
      </w:r>
    </w:p>
    <w:p w14:paraId="4E702D63" w14:textId="77777777" w:rsidR="00EC09F5" w:rsidRDefault="00035912">
      <w:pPr>
        <w:numPr>
          <w:ilvl w:val="1"/>
          <w:numId w:val="9"/>
        </w:numPr>
        <w:spacing w:after="240" w:line="240" w:lineRule="auto"/>
        <w:rPr>
          <w:rFonts w:ascii="Arial" w:eastAsia="Arial" w:hAnsi="Arial" w:cs="Arial"/>
          <w:b/>
          <w:sz w:val="24"/>
          <w:szCs w:val="24"/>
        </w:rPr>
      </w:pPr>
      <w:r>
        <w:rPr>
          <w:rFonts w:ascii="Arial" w:eastAsia="Arial" w:hAnsi="Arial" w:cs="Arial"/>
          <w:b/>
          <w:sz w:val="24"/>
          <w:szCs w:val="24"/>
        </w:rPr>
        <w:t>Final report</w:t>
      </w:r>
    </w:p>
    <w:p w14:paraId="408A0BB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is required to produce a final report</w:t>
      </w:r>
      <w:r>
        <w:rPr>
          <w:rFonts w:ascii="Arial" w:eastAsia="Arial" w:hAnsi="Arial" w:cs="Arial"/>
          <w:b w:val="0"/>
          <w:color w:val="000000"/>
          <w:sz w:val="24"/>
          <w:szCs w:val="24"/>
        </w:rPr>
        <w:t xml:space="preserve"> for each lot which should be signed off by the Authority by the beginning of June 2025 and will be published by the Authority in Summer 2025. The Supplier should consider a realistic timeline to allow time for review and comment from the Authority and rel</w:t>
      </w:r>
      <w:r>
        <w:rPr>
          <w:rFonts w:ascii="Arial" w:eastAsia="Arial" w:hAnsi="Arial" w:cs="Arial"/>
          <w:b w:val="0"/>
          <w:color w:val="000000"/>
          <w:sz w:val="24"/>
          <w:szCs w:val="24"/>
        </w:rPr>
        <w:t>evant stakeholders prior to this deadline. Therefore, a first draft of the final report should be submitted at the end of April in order for review, comments, and redrafts to take place in May 2025.</w:t>
      </w:r>
    </w:p>
    <w:p w14:paraId="0AF0B378"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Authority requires that near final drafts should be f</w:t>
      </w:r>
      <w:r>
        <w:rPr>
          <w:rFonts w:ascii="Arial" w:eastAsia="Arial" w:hAnsi="Arial" w:cs="Arial"/>
          <w:b w:val="0"/>
          <w:color w:val="000000"/>
          <w:sz w:val="24"/>
          <w:szCs w:val="24"/>
        </w:rPr>
        <w:t>ully proof read and signed-off by the Supplier to enable complete and efficient sign-off.</w:t>
      </w:r>
    </w:p>
    <w:p w14:paraId="4F21AE5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final report should be focused in terms of length (20-25 pages) and include an executive summary and actionable insights. The report will incorporate the findings</w:t>
      </w:r>
      <w:r>
        <w:rPr>
          <w:rFonts w:ascii="Arial" w:eastAsia="Arial" w:hAnsi="Arial" w:cs="Arial"/>
          <w:b w:val="0"/>
          <w:color w:val="000000"/>
          <w:sz w:val="24"/>
          <w:szCs w:val="24"/>
        </w:rPr>
        <w:t xml:space="preserve"> of the lived experience research to inform the final conclusions.</w:t>
      </w:r>
    </w:p>
    <w:p w14:paraId="5A2A8F88"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literature review, final report and related outputs, interview materials and data will remain the intellectual property of the Authority. Decisions regarding the timings and format of reports will be taken by the Authority.</w:t>
      </w:r>
    </w:p>
    <w:p w14:paraId="2DD13045"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lastRenderedPageBreak/>
        <w:t xml:space="preserve">The Supplier is required to </w:t>
      </w:r>
      <w:r>
        <w:rPr>
          <w:rFonts w:ascii="Arial" w:eastAsia="Arial" w:hAnsi="Arial" w:cs="Arial"/>
          <w:b w:val="0"/>
          <w:color w:val="000000"/>
          <w:sz w:val="24"/>
          <w:szCs w:val="24"/>
        </w:rPr>
        <w:t>ensure that all data, analysis, the final report and annexes have been quality assured in line with the Aqua Book. This is essential for providing the Authority with reasonable assurance of the quality of the work.</w:t>
      </w:r>
    </w:p>
    <w:p w14:paraId="4D359511"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final report (including annexes) shou</w:t>
      </w:r>
      <w:r>
        <w:rPr>
          <w:rFonts w:ascii="Arial" w:eastAsia="Arial" w:hAnsi="Arial" w:cs="Arial"/>
          <w:b w:val="0"/>
          <w:color w:val="000000"/>
          <w:sz w:val="24"/>
          <w:szCs w:val="24"/>
        </w:rPr>
        <w:t xml:space="preserve">ld be accessible to a range of audiences. This should include using plain English and avoiding technical jargon where possible. </w:t>
      </w:r>
    </w:p>
    <w:p w14:paraId="1BA48A64"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Provision of alternative versions including easy read, large print and BSL should also be considered. The Authority is open to </w:t>
      </w:r>
      <w:r>
        <w:rPr>
          <w:rFonts w:ascii="Arial" w:eastAsia="Arial" w:hAnsi="Arial" w:cs="Arial"/>
          <w:b w:val="0"/>
          <w:color w:val="000000"/>
          <w:sz w:val="24"/>
          <w:szCs w:val="24"/>
        </w:rPr>
        <w:t xml:space="preserve">the Supplier suggesting alternative ways of presenting the findings. </w:t>
      </w:r>
    </w:p>
    <w:p w14:paraId="125DD04F"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The final reports will need to incorporate some aspects of the Authority’s style guides. This includes, but is not limited to: accessibility guidance and our </w:t>
      </w:r>
      <w:hyperlink r:id="rId10">
        <w:r>
          <w:rPr>
            <w:rFonts w:ascii="Arial" w:eastAsia="Arial" w:hAnsi="Arial" w:cs="Arial"/>
            <w:b w:val="0"/>
            <w:color w:val="0000FF"/>
            <w:sz w:val="24"/>
            <w:szCs w:val="24"/>
            <w:u w:val="single"/>
          </w:rPr>
          <w:t>Writing about Ethnicity guide</w:t>
        </w:r>
      </w:hyperlink>
      <w:r>
        <w:rPr>
          <w:rFonts w:ascii="Arial" w:eastAsia="Arial" w:hAnsi="Arial" w:cs="Arial"/>
          <w:b w:val="0"/>
          <w:color w:val="000000"/>
          <w:sz w:val="24"/>
          <w:szCs w:val="24"/>
        </w:rPr>
        <w:t xml:space="preserve">. </w:t>
      </w:r>
    </w:p>
    <w:p w14:paraId="340D2018"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Final reports must be submitted to the Authority at least 2 weeks in advance of publication. The final publication dates will be agreed between t</w:t>
      </w:r>
      <w:r>
        <w:rPr>
          <w:rFonts w:ascii="Arial" w:eastAsia="Arial" w:hAnsi="Arial" w:cs="Arial"/>
          <w:b w:val="0"/>
          <w:color w:val="000000"/>
          <w:sz w:val="24"/>
          <w:szCs w:val="24"/>
        </w:rPr>
        <w:t>he Authority and the Supplier in due course.</w:t>
      </w:r>
    </w:p>
    <w:p w14:paraId="769517CD"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is required to work closely with the Authority upon publication and ensure all communications are coordinated. Any communication materials to be used by the Supplier should be submitted to the Autho</w:t>
      </w:r>
      <w:r>
        <w:rPr>
          <w:rFonts w:ascii="Arial" w:eastAsia="Arial" w:hAnsi="Arial" w:cs="Arial"/>
          <w:b w:val="0"/>
          <w:color w:val="000000"/>
          <w:sz w:val="24"/>
          <w:szCs w:val="24"/>
        </w:rPr>
        <w:t>rity for sign-off or agreement before use.</w:t>
      </w:r>
    </w:p>
    <w:p w14:paraId="50BF0091" w14:textId="77777777" w:rsidR="00EC09F5" w:rsidRDefault="00035912">
      <w:pPr>
        <w:pStyle w:val="Heading1"/>
        <w:keepLines w:val="0"/>
        <w:numPr>
          <w:ilvl w:val="0"/>
          <w:numId w:val="6"/>
        </w:numPr>
        <w:spacing w:before="0" w:after="120" w:line="240" w:lineRule="auto"/>
        <w:jc w:val="both"/>
        <w:rPr>
          <w:rFonts w:ascii="Arial" w:eastAsia="Arial" w:hAnsi="Arial" w:cs="Arial"/>
          <w:sz w:val="32"/>
          <w:szCs w:val="32"/>
        </w:rPr>
      </w:pPr>
      <w:bookmarkStart w:id="14" w:name="_heading=h.35nkun2" w:colFirst="0" w:colLast="0"/>
      <w:bookmarkEnd w:id="14"/>
      <w:r>
        <w:rPr>
          <w:rFonts w:ascii="Arial" w:eastAsia="Arial" w:hAnsi="Arial" w:cs="Arial"/>
          <w:smallCaps/>
          <w:color w:val="000000"/>
          <w:sz w:val="32"/>
          <w:szCs w:val="32"/>
        </w:rPr>
        <w:t>Lot 1 - key milestones and Deliverables</w:t>
      </w:r>
    </w:p>
    <w:p w14:paraId="4A85A67F"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Authority will require the Supplier to deliver against the following timetable and milestones. It is expected that the Supplier shall be available to start work immediat</w:t>
      </w:r>
      <w:r>
        <w:rPr>
          <w:rFonts w:ascii="Arial" w:eastAsia="Arial" w:hAnsi="Arial" w:cs="Arial"/>
          <w:b w:val="0"/>
          <w:color w:val="000000"/>
          <w:sz w:val="24"/>
          <w:szCs w:val="24"/>
        </w:rPr>
        <w:t>ely on award of contract. The final report, including sign-off by the Authority, must be delivered by the beginning of June 2025.</w:t>
      </w:r>
    </w:p>
    <w:p w14:paraId="04513E97"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Potential Suppliers should confirm in their response that these timetables are acceptable, or outline clearly any alternative </w:t>
      </w:r>
      <w:r>
        <w:rPr>
          <w:rFonts w:ascii="Arial" w:eastAsia="Arial" w:hAnsi="Arial" w:cs="Arial"/>
          <w:b w:val="0"/>
          <w:color w:val="000000"/>
          <w:sz w:val="24"/>
          <w:szCs w:val="24"/>
        </w:rPr>
        <w:t>timings that will be put in place to ensure that headline findings and reports can be delivered to the deadlines below.</w:t>
      </w:r>
    </w:p>
    <w:p w14:paraId="3BDAE246"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following indicative timetable sets out the proposed key stages and deliverables</w:t>
      </w:r>
      <w:r>
        <w:rPr>
          <w:rFonts w:ascii="Arial" w:eastAsia="Arial" w:hAnsi="Arial" w:cs="Arial"/>
          <w:b w:val="0"/>
          <w:color w:val="000000"/>
          <w:sz w:val="22"/>
          <w:szCs w:val="22"/>
        </w:rPr>
        <w:t xml:space="preserve"> </w:t>
      </w:r>
      <w:r>
        <w:rPr>
          <w:rFonts w:ascii="Arial" w:eastAsia="Arial" w:hAnsi="Arial" w:cs="Arial"/>
          <w:b w:val="0"/>
          <w:color w:val="000000"/>
          <w:sz w:val="24"/>
          <w:szCs w:val="24"/>
        </w:rPr>
        <w:t>(exact timings will be agreed on award of contract):</w:t>
      </w:r>
    </w:p>
    <w:tbl>
      <w:tblPr>
        <w:tblStyle w:val="a8"/>
        <w:tblW w:w="9013" w:type="dxa"/>
        <w:tblLayout w:type="fixed"/>
        <w:tblLook w:val="0400" w:firstRow="0" w:lastRow="0" w:firstColumn="0" w:lastColumn="0" w:noHBand="0" w:noVBand="1"/>
      </w:tblPr>
      <w:tblGrid>
        <w:gridCol w:w="2396"/>
        <w:gridCol w:w="4585"/>
        <w:gridCol w:w="2032"/>
      </w:tblGrid>
      <w:tr w:rsidR="00EC09F5" w14:paraId="3791EE35" w14:textId="77777777">
        <w:trPr>
          <w:trHeight w:val="20"/>
        </w:trPr>
        <w:tc>
          <w:tcPr>
            <w:tcW w:w="2396" w:type="dxa"/>
            <w:tcBorders>
              <w:top w:val="single" w:sz="6" w:space="0" w:color="000000"/>
              <w:left w:val="single" w:sz="6" w:space="0" w:color="000000"/>
              <w:bottom w:val="single" w:sz="6" w:space="0" w:color="000000"/>
              <w:right w:val="single" w:sz="6" w:space="0" w:color="000000"/>
            </w:tcBorders>
            <w:shd w:val="clear" w:color="auto" w:fill="C6D9F1"/>
            <w:tcMar>
              <w:top w:w="100" w:type="dxa"/>
              <w:left w:w="100" w:type="dxa"/>
              <w:bottom w:w="100" w:type="dxa"/>
              <w:right w:w="100" w:type="dxa"/>
            </w:tcMar>
          </w:tcPr>
          <w:p w14:paraId="572772D7"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b/>
                <w:sz w:val="24"/>
                <w:szCs w:val="24"/>
              </w:rPr>
              <w:t>Milestone</w:t>
            </w:r>
          </w:p>
        </w:tc>
        <w:tc>
          <w:tcPr>
            <w:tcW w:w="4585" w:type="dxa"/>
            <w:tcBorders>
              <w:top w:val="single" w:sz="6" w:space="0" w:color="000000"/>
              <w:left w:val="single" w:sz="6" w:space="0" w:color="000000"/>
              <w:bottom w:val="single" w:sz="6" w:space="0" w:color="000000"/>
              <w:right w:val="single" w:sz="6" w:space="0" w:color="000000"/>
            </w:tcBorders>
            <w:shd w:val="clear" w:color="auto" w:fill="C6D9F1"/>
            <w:tcMar>
              <w:top w:w="100" w:type="dxa"/>
              <w:left w:w="100" w:type="dxa"/>
              <w:bottom w:w="100" w:type="dxa"/>
              <w:right w:w="100" w:type="dxa"/>
            </w:tcMar>
          </w:tcPr>
          <w:p w14:paraId="1F6D9306"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b/>
                <w:sz w:val="24"/>
                <w:szCs w:val="24"/>
              </w:rPr>
              <w:t>Description</w:t>
            </w:r>
          </w:p>
        </w:tc>
        <w:tc>
          <w:tcPr>
            <w:tcW w:w="2032" w:type="dxa"/>
            <w:tcBorders>
              <w:top w:val="single" w:sz="6" w:space="0" w:color="000000"/>
              <w:left w:val="single" w:sz="6" w:space="0" w:color="000000"/>
              <w:bottom w:val="single" w:sz="6" w:space="0" w:color="000000"/>
              <w:right w:val="single" w:sz="6" w:space="0" w:color="000000"/>
            </w:tcBorders>
            <w:shd w:val="clear" w:color="auto" w:fill="C6D9F1"/>
            <w:tcMar>
              <w:top w:w="100" w:type="dxa"/>
              <w:left w:w="100" w:type="dxa"/>
              <w:bottom w:w="100" w:type="dxa"/>
              <w:right w:w="100" w:type="dxa"/>
            </w:tcMar>
          </w:tcPr>
          <w:p w14:paraId="49AE1CC1"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b/>
                <w:sz w:val="24"/>
                <w:szCs w:val="24"/>
              </w:rPr>
              <w:t>Delivery Date</w:t>
            </w:r>
          </w:p>
        </w:tc>
      </w:tr>
      <w:tr w:rsidR="00EC09F5" w14:paraId="03ECD267" w14:textId="77777777">
        <w:trPr>
          <w:trHeight w:val="20"/>
        </w:trPr>
        <w:tc>
          <w:tcPr>
            <w:tcW w:w="239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46C35C7"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Milestone 1</w:t>
            </w:r>
          </w:p>
        </w:tc>
        <w:tc>
          <w:tcPr>
            <w:tcW w:w="45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657FAEA"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Award of Contract</w:t>
            </w:r>
          </w:p>
        </w:tc>
        <w:tc>
          <w:tcPr>
            <w:tcW w:w="203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841EB4E" w14:textId="2AD6440A"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 xml:space="preserve">No later than </w:t>
            </w:r>
            <w:r w:rsidR="00D337A1">
              <w:rPr>
                <w:rFonts w:ascii="Arial" w:eastAsia="Arial" w:hAnsi="Arial" w:cs="Arial"/>
                <w:sz w:val="24"/>
                <w:szCs w:val="24"/>
              </w:rPr>
              <w:t>19</w:t>
            </w:r>
            <w:r>
              <w:rPr>
                <w:rFonts w:ascii="Arial" w:eastAsia="Arial" w:hAnsi="Arial" w:cs="Arial"/>
                <w:sz w:val="24"/>
                <w:szCs w:val="24"/>
              </w:rPr>
              <w:t>/02/2025</w:t>
            </w:r>
          </w:p>
        </w:tc>
      </w:tr>
      <w:tr w:rsidR="00EC09F5" w14:paraId="3BB00743" w14:textId="77777777">
        <w:trPr>
          <w:trHeight w:val="20"/>
        </w:trPr>
        <w:tc>
          <w:tcPr>
            <w:tcW w:w="239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F505C56"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Milestone 2</w:t>
            </w:r>
          </w:p>
        </w:tc>
        <w:tc>
          <w:tcPr>
            <w:tcW w:w="45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8F31B72"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Inception report including analytical framework</w:t>
            </w:r>
          </w:p>
        </w:tc>
        <w:tc>
          <w:tcPr>
            <w:tcW w:w="203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170B3D6"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No later than 28/02/2025</w:t>
            </w:r>
          </w:p>
        </w:tc>
      </w:tr>
      <w:tr w:rsidR="00EC09F5" w14:paraId="601E5F0E" w14:textId="77777777">
        <w:trPr>
          <w:trHeight w:val="20"/>
        </w:trPr>
        <w:tc>
          <w:tcPr>
            <w:tcW w:w="239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B136C1B"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Milestone 3</w:t>
            </w:r>
          </w:p>
        </w:tc>
        <w:tc>
          <w:tcPr>
            <w:tcW w:w="45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3272EAF"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Set up advisory group</w:t>
            </w:r>
          </w:p>
        </w:tc>
        <w:tc>
          <w:tcPr>
            <w:tcW w:w="203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136D88C"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No later than 28/02/2025</w:t>
            </w:r>
          </w:p>
        </w:tc>
      </w:tr>
      <w:tr w:rsidR="00EC09F5" w14:paraId="59BB0F50" w14:textId="77777777">
        <w:trPr>
          <w:trHeight w:val="20"/>
        </w:trPr>
        <w:tc>
          <w:tcPr>
            <w:tcW w:w="239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8318105"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lastRenderedPageBreak/>
              <w:t>Milestone 4</w:t>
            </w:r>
          </w:p>
        </w:tc>
        <w:tc>
          <w:tcPr>
            <w:tcW w:w="45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E2F43A0"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Literature review</w:t>
            </w:r>
          </w:p>
        </w:tc>
        <w:tc>
          <w:tcPr>
            <w:tcW w:w="203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64254C7"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No later than 11/03/2025</w:t>
            </w:r>
          </w:p>
        </w:tc>
      </w:tr>
      <w:tr w:rsidR="00EC09F5" w14:paraId="2096ACB5" w14:textId="77777777">
        <w:trPr>
          <w:trHeight w:val="20"/>
        </w:trPr>
        <w:tc>
          <w:tcPr>
            <w:tcW w:w="239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84752AA"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Milestone 5</w:t>
            </w:r>
          </w:p>
        </w:tc>
        <w:tc>
          <w:tcPr>
            <w:tcW w:w="45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33B4575"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Interim findings presented</w:t>
            </w:r>
          </w:p>
        </w:tc>
        <w:tc>
          <w:tcPr>
            <w:tcW w:w="203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3E48386"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No later than 18/04/2025</w:t>
            </w:r>
          </w:p>
        </w:tc>
      </w:tr>
      <w:tr w:rsidR="00EC09F5" w14:paraId="474071AC" w14:textId="77777777">
        <w:trPr>
          <w:trHeight w:val="20"/>
        </w:trPr>
        <w:tc>
          <w:tcPr>
            <w:tcW w:w="239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F6C6D80"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Milestone 6</w:t>
            </w:r>
          </w:p>
        </w:tc>
        <w:tc>
          <w:tcPr>
            <w:tcW w:w="45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DB1A7DC"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Summary of amalgamated findings with lived experience research</w:t>
            </w:r>
          </w:p>
        </w:tc>
        <w:tc>
          <w:tcPr>
            <w:tcW w:w="203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3816D06"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No later than 30/05/2025</w:t>
            </w:r>
          </w:p>
        </w:tc>
      </w:tr>
      <w:tr w:rsidR="00EC09F5" w14:paraId="4F82C72E" w14:textId="77777777">
        <w:trPr>
          <w:trHeight w:val="20"/>
        </w:trPr>
        <w:tc>
          <w:tcPr>
            <w:tcW w:w="239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E559BF2"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Milestone 7</w:t>
            </w:r>
          </w:p>
        </w:tc>
        <w:tc>
          <w:tcPr>
            <w:tcW w:w="45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54C38D5"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Final report (signed off by Authority)</w:t>
            </w:r>
          </w:p>
        </w:tc>
        <w:tc>
          <w:tcPr>
            <w:tcW w:w="203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82CF368"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No later than 30/06/2025</w:t>
            </w:r>
          </w:p>
        </w:tc>
      </w:tr>
      <w:tr w:rsidR="00EC09F5" w14:paraId="65BF4C0D" w14:textId="77777777">
        <w:trPr>
          <w:trHeight w:val="20"/>
        </w:trPr>
        <w:tc>
          <w:tcPr>
            <w:tcW w:w="239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72006DA"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Milestone 8 (for information only)</w:t>
            </w:r>
          </w:p>
        </w:tc>
        <w:tc>
          <w:tcPr>
            <w:tcW w:w="45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2B3BC8D"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Publication</w:t>
            </w:r>
          </w:p>
        </w:tc>
        <w:tc>
          <w:tcPr>
            <w:tcW w:w="203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4554184" w14:textId="77777777" w:rsidR="00EC09F5" w:rsidRDefault="00035912">
            <w:pPr>
              <w:spacing w:after="0" w:line="240" w:lineRule="auto"/>
              <w:jc w:val="center"/>
              <w:rPr>
                <w:rFonts w:ascii="Times New Roman" w:eastAsia="Times New Roman" w:hAnsi="Times New Roman"/>
                <w:sz w:val="24"/>
                <w:szCs w:val="24"/>
              </w:rPr>
            </w:pPr>
            <w:r>
              <w:rPr>
                <w:rFonts w:ascii="Arial" w:eastAsia="Arial" w:hAnsi="Arial" w:cs="Arial"/>
                <w:sz w:val="24"/>
                <w:szCs w:val="24"/>
              </w:rPr>
              <w:t>No later than 30/06/2025</w:t>
            </w:r>
          </w:p>
        </w:tc>
      </w:tr>
    </w:tbl>
    <w:p w14:paraId="76D58C86" w14:textId="77777777" w:rsidR="00EC09F5" w:rsidRDefault="00035912">
      <w:pPr>
        <w:spacing w:after="0" w:line="240" w:lineRule="auto"/>
        <w:rPr>
          <w:rFonts w:ascii="Arial" w:eastAsia="Arial" w:hAnsi="Arial" w:cs="Arial"/>
          <w:b/>
          <w:sz w:val="36"/>
          <w:szCs w:val="36"/>
        </w:rPr>
      </w:pPr>
      <w:bookmarkStart w:id="15" w:name="_heading=h.1ksv4uv" w:colFirst="0" w:colLast="0"/>
      <w:bookmarkEnd w:id="15"/>
      <w:r>
        <w:br w:type="page"/>
      </w:r>
    </w:p>
    <w:p w14:paraId="797CEFE8" w14:textId="77777777" w:rsidR="00EC09F5" w:rsidRDefault="00035912">
      <w:pPr>
        <w:pStyle w:val="Heading1"/>
        <w:keepLines w:val="0"/>
        <w:spacing w:before="0" w:after="120" w:line="240" w:lineRule="auto"/>
        <w:ind w:left="720"/>
        <w:jc w:val="both"/>
        <w:rPr>
          <w:rFonts w:ascii="Arial" w:eastAsia="Arial" w:hAnsi="Arial" w:cs="Arial"/>
          <w:color w:val="000000"/>
          <w:sz w:val="36"/>
          <w:szCs w:val="36"/>
        </w:rPr>
      </w:pPr>
      <w:bookmarkStart w:id="16" w:name="_heading=h.44sinio" w:colFirst="0" w:colLast="0"/>
      <w:bookmarkEnd w:id="16"/>
      <w:r>
        <w:rPr>
          <w:rFonts w:ascii="Arial" w:eastAsia="Arial" w:hAnsi="Arial" w:cs="Arial"/>
          <w:color w:val="000000"/>
          <w:sz w:val="36"/>
          <w:szCs w:val="36"/>
        </w:rPr>
        <w:lastRenderedPageBreak/>
        <w:t>Lot 2 Combined Discrimination</w:t>
      </w:r>
    </w:p>
    <w:p w14:paraId="490C819B" w14:textId="77777777" w:rsidR="00EC09F5" w:rsidRDefault="00EC09F5">
      <w:pPr>
        <w:pStyle w:val="Heading1"/>
        <w:keepLines w:val="0"/>
        <w:spacing w:before="0" w:after="120" w:line="240" w:lineRule="auto"/>
        <w:ind w:left="720"/>
        <w:rPr>
          <w:rFonts w:ascii="Arial" w:eastAsia="Arial" w:hAnsi="Arial" w:cs="Arial"/>
          <w:smallCaps/>
          <w:color w:val="000000"/>
          <w:sz w:val="32"/>
          <w:szCs w:val="32"/>
        </w:rPr>
      </w:pPr>
    </w:p>
    <w:p w14:paraId="7FD4E78E" w14:textId="77777777" w:rsidR="00EC09F5" w:rsidRDefault="00035912">
      <w:pPr>
        <w:pStyle w:val="Heading1"/>
        <w:keepLines w:val="0"/>
        <w:numPr>
          <w:ilvl w:val="0"/>
          <w:numId w:val="6"/>
        </w:numPr>
        <w:spacing w:before="0" w:after="120" w:line="240" w:lineRule="auto"/>
        <w:rPr>
          <w:rFonts w:ascii="Arial" w:eastAsia="Arial" w:hAnsi="Arial" w:cs="Arial"/>
          <w:sz w:val="32"/>
          <w:szCs w:val="32"/>
        </w:rPr>
      </w:pPr>
      <w:bookmarkStart w:id="17" w:name="_heading=h.2jxsxqh" w:colFirst="0" w:colLast="0"/>
      <w:bookmarkEnd w:id="17"/>
      <w:r>
        <w:rPr>
          <w:rFonts w:ascii="Arial" w:eastAsia="Arial" w:hAnsi="Arial" w:cs="Arial"/>
          <w:smallCaps/>
          <w:color w:val="000000"/>
          <w:sz w:val="32"/>
          <w:szCs w:val="32"/>
        </w:rPr>
        <w:t>Lot 2 - OVERVIEW of requirement</w:t>
      </w:r>
    </w:p>
    <w:p w14:paraId="25C42108"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People hold multiple protected characteristics, and the government acknowledges that some people experience discrimination due to that combination of these. For example, Muslim women, black men and menopausal women may experience discrimination because of </w:t>
      </w:r>
      <w:r>
        <w:rPr>
          <w:rFonts w:ascii="Arial" w:eastAsia="Arial" w:hAnsi="Arial" w:cs="Arial"/>
          <w:b w:val="0"/>
          <w:color w:val="000000"/>
          <w:sz w:val="24"/>
          <w:szCs w:val="24"/>
        </w:rPr>
        <w:t>a combination of protected characteristics and not each characteristic in isolation.</w:t>
      </w:r>
    </w:p>
    <w:p w14:paraId="7033FFD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government believes that the current legislative framework does not provide adequate protection for people who experience discrimination based on a combination of prot</w:t>
      </w:r>
      <w:r>
        <w:rPr>
          <w:rFonts w:ascii="Arial" w:eastAsia="Arial" w:hAnsi="Arial" w:cs="Arial"/>
          <w:b w:val="0"/>
          <w:color w:val="000000"/>
          <w:sz w:val="24"/>
          <w:szCs w:val="24"/>
        </w:rPr>
        <w:t>ected characteristics. As the law stands, an employee or service user who is treated less favourably because of a combination of protected characteristics must seek to bring discrimination claims based on each separate protected characteristic, even if the</w:t>
      </w:r>
      <w:r>
        <w:rPr>
          <w:rFonts w:ascii="Arial" w:eastAsia="Arial" w:hAnsi="Arial" w:cs="Arial"/>
          <w:b w:val="0"/>
          <w:color w:val="000000"/>
          <w:sz w:val="24"/>
          <w:szCs w:val="24"/>
        </w:rPr>
        <w:t xml:space="preserve">y relate to a single alleged act of discrimination. As a result of this, it can be difficult and complicated to get a legal remedy. </w:t>
      </w:r>
    </w:p>
    <w:p w14:paraId="15EB4722"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government will address this long-standing gap in the law by commencing section 14 of the Equality Act 2010 to strength</w:t>
      </w:r>
      <w:r>
        <w:rPr>
          <w:rFonts w:ascii="Arial" w:eastAsia="Arial" w:hAnsi="Arial" w:cs="Arial"/>
          <w:b w:val="0"/>
          <w:color w:val="000000"/>
          <w:sz w:val="24"/>
          <w:szCs w:val="24"/>
        </w:rPr>
        <w:t>en protections against combined discrimination. Commencement of the provision will help to ensure that the full reality of claimants’ experience is recognised, and that discrimination law can better address any disadvantage suffered by people who experienc</w:t>
      </w:r>
      <w:r>
        <w:rPr>
          <w:rFonts w:ascii="Arial" w:eastAsia="Arial" w:hAnsi="Arial" w:cs="Arial"/>
          <w:b w:val="0"/>
          <w:color w:val="000000"/>
          <w:sz w:val="24"/>
          <w:szCs w:val="24"/>
        </w:rPr>
        <w:t>e combined discrimination.</w:t>
      </w:r>
    </w:p>
    <w:p w14:paraId="7E149D6B"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In response to the 2007 Discrimination Law Review consultation, the government committed to exploring further how it could allow multiple discrimination claims to be brought without making the law overly complex and burdensome on</w:t>
      </w:r>
      <w:r>
        <w:rPr>
          <w:rFonts w:ascii="Arial" w:eastAsia="Arial" w:hAnsi="Arial" w:cs="Arial"/>
          <w:b w:val="0"/>
          <w:color w:val="000000"/>
          <w:sz w:val="24"/>
          <w:szCs w:val="24"/>
        </w:rPr>
        <w:t xml:space="preserve"> those with responsibilities under the law. It commissioned Citizens Advice to conduct research with front-line Citizens Advice Bureaux Advisors, conducting 23 interviews with Advisors in May 2009 to estimate the number of discrimination cases and the pote</w:t>
      </w:r>
      <w:r>
        <w:rPr>
          <w:rFonts w:ascii="Arial" w:eastAsia="Arial" w:hAnsi="Arial" w:cs="Arial"/>
          <w:b w:val="0"/>
          <w:color w:val="000000"/>
          <w:sz w:val="24"/>
          <w:szCs w:val="24"/>
        </w:rPr>
        <w:t>ntial for direct “intersectional” discrimination cases in the previous year. Key findings of the 2009 research were:</w:t>
      </w:r>
    </w:p>
    <w:p w14:paraId="77E8094E" w14:textId="77777777" w:rsidR="00EC09F5" w:rsidRDefault="00035912">
      <w:pPr>
        <w:pStyle w:val="Heading3"/>
        <w:keepNext w:val="0"/>
        <w:keepLines w:val="0"/>
        <w:numPr>
          <w:ilvl w:val="2"/>
          <w:numId w:val="18"/>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 xml:space="preserve">7.7% (106) of discrimination cases were estimated to have involved more than one protected characteristic in the year up to May 2009, with </w:t>
      </w:r>
      <w:r>
        <w:rPr>
          <w:rFonts w:ascii="Arial" w:eastAsia="Arial" w:hAnsi="Arial" w:cs="Arial"/>
          <w:b w:val="0"/>
          <w:sz w:val="24"/>
          <w:szCs w:val="24"/>
        </w:rPr>
        <w:t>4% (55) of those identified potentially involving two or more protected characteristics.</w:t>
      </w:r>
    </w:p>
    <w:p w14:paraId="1BB9E3DC" w14:textId="77777777" w:rsidR="00EC09F5" w:rsidRDefault="00035912">
      <w:pPr>
        <w:pStyle w:val="Heading3"/>
        <w:keepNext w:val="0"/>
        <w:keepLines w:val="0"/>
        <w:numPr>
          <w:ilvl w:val="2"/>
          <w:numId w:val="18"/>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In 52 of the estimated intersectional discrimination cases, advisors identified that 88% involved two protected characteristics; and 12% involved three or more.</w:t>
      </w:r>
    </w:p>
    <w:p w14:paraId="45671F67" w14:textId="77777777" w:rsidR="00EC09F5" w:rsidRDefault="00035912">
      <w:pPr>
        <w:pStyle w:val="Heading3"/>
        <w:keepNext w:val="0"/>
        <w:keepLines w:val="0"/>
        <w:numPr>
          <w:ilvl w:val="2"/>
          <w:numId w:val="18"/>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An est</w:t>
      </w:r>
      <w:r>
        <w:rPr>
          <w:rFonts w:ascii="Arial" w:eastAsia="Arial" w:hAnsi="Arial" w:cs="Arial"/>
          <w:b w:val="0"/>
          <w:sz w:val="24"/>
          <w:szCs w:val="24"/>
        </w:rPr>
        <w:t xml:space="preserve">imated 15 different combinations of discrimination was reported. 8 cases involved race and another characteristic; sex and </w:t>
      </w:r>
      <w:r>
        <w:rPr>
          <w:rFonts w:ascii="Arial" w:eastAsia="Arial" w:hAnsi="Arial" w:cs="Arial"/>
          <w:b w:val="0"/>
          <w:sz w:val="24"/>
          <w:szCs w:val="24"/>
        </w:rPr>
        <w:lastRenderedPageBreak/>
        <w:t>disability were involved in 7 combinations; and age was involved in 6 combinations.</w:t>
      </w:r>
    </w:p>
    <w:p w14:paraId="202C79E7" w14:textId="77777777" w:rsidR="00EC09F5" w:rsidRDefault="00035912">
      <w:pPr>
        <w:pStyle w:val="Heading3"/>
        <w:keepNext w:val="0"/>
        <w:keepLines w:val="0"/>
        <w:numPr>
          <w:ilvl w:val="2"/>
          <w:numId w:val="18"/>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Intersectional discrimination cases involving rel</w:t>
      </w:r>
      <w:r>
        <w:rPr>
          <w:rFonts w:ascii="Arial" w:eastAsia="Arial" w:hAnsi="Arial" w:cs="Arial"/>
          <w:b w:val="0"/>
          <w:sz w:val="24"/>
          <w:szCs w:val="24"/>
        </w:rPr>
        <w:t>igion and belief always involved race and were specific to people who were Asian and Muslim.</w:t>
      </w:r>
    </w:p>
    <w:p w14:paraId="654D5155" w14:textId="77777777" w:rsidR="00EC09F5" w:rsidRDefault="00035912">
      <w:pPr>
        <w:pStyle w:val="Heading3"/>
        <w:keepNext w:val="0"/>
        <w:keepLines w:val="0"/>
        <w:numPr>
          <w:ilvl w:val="2"/>
          <w:numId w:val="18"/>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In cases involving 3 or more protected characteristics, 75% involved a race claim, with 66% of these cases involving an age and/or a disability claim.</w:t>
      </w:r>
    </w:p>
    <w:p w14:paraId="62360F7B" w14:textId="77777777" w:rsidR="00EC09F5" w:rsidRDefault="00035912">
      <w:pPr>
        <w:pStyle w:val="Heading3"/>
        <w:keepNext w:val="0"/>
        <w:keepLines w:val="0"/>
        <w:numPr>
          <w:ilvl w:val="2"/>
          <w:numId w:val="18"/>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The scope of</w:t>
      </w:r>
      <w:r>
        <w:rPr>
          <w:rFonts w:ascii="Arial" w:eastAsia="Arial" w:hAnsi="Arial" w:cs="Arial"/>
          <w:b w:val="0"/>
          <w:sz w:val="24"/>
          <w:szCs w:val="24"/>
        </w:rPr>
        <w:t xml:space="preserve"> the research was limited to direct discrimination. However, the study does note that 73% (11) of the cases that met the provided definition of direct intersectional discrimination also included incidents of harassment, and 46% (6) of the cases which were </w:t>
      </w:r>
      <w:r>
        <w:rPr>
          <w:rFonts w:ascii="Arial" w:eastAsia="Arial" w:hAnsi="Arial" w:cs="Arial"/>
          <w:b w:val="0"/>
          <w:sz w:val="24"/>
          <w:szCs w:val="24"/>
        </w:rPr>
        <w:t>removed for being outside the scope of the study involved indirect discrimination.</w:t>
      </w:r>
    </w:p>
    <w:p w14:paraId="4EFCC736" w14:textId="77777777" w:rsidR="00EC09F5" w:rsidRDefault="00035912">
      <w:pPr>
        <w:pStyle w:val="Heading3"/>
        <w:keepNext w:val="0"/>
        <w:keepLines w:val="0"/>
        <w:numPr>
          <w:ilvl w:val="2"/>
          <w:numId w:val="18"/>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The scope of the research also excluded pregnancy and maternity and marriage and civil partnership cases. One of the 14 cases excluded due to being outside of scope included</w:t>
      </w:r>
      <w:r>
        <w:rPr>
          <w:rFonts w:ascii="Arial" w:eastAsia="Arial" w:hAnsi="Arial" w:cs="Arial"/>
          <w:b w:val="0"/>
          <w:sz w:val="24"/>
          <w:szCs w:val="24"/>
        </w:rPr>
        <w:t xml:space="preserve"> intersectional pregnancy and maternity discrimination and a majority of the advisors felt that pregnancy and maternity cases should be covered by the provision. No cases involving marriage and civil partnership were found and the report does not record ad</w:t>
      </w:r>
      <w:r>
        <w:rPr>
          <w:rFonts w:ascii="Arial" w:eastAsia="Arial" w:hAnsi="Arial" w:cs="Arial"/>
          <w:b w:val="0"/>
          <w:sz w:val="24"/>
          <w:szCs w:val="24"/>
        </w:rPr>
        <w:t>visors’ views as to whether marriage and civil partnership cases should be covered by the provision.</w:t>
      </w:r>
    </w:p>
    <w:p w14:paraId="5273412D"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Lot 2 research will build on - and broaden the scope of - the Citizens Advice Bureau report on ‘Potential Intersectional Discrimination Cases’ commissioned by the Government in 2009.</w:t>
      </w:r>
    </w:p>
    <w:p w14:paraId="2A983E08"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We intend to carry out this research prior to the commencement of sec</w:t>
      </w:r>
      <w:r>
        <w:rPr>
          <w:rFonts w:ascii="Arial" w:eastAsia="Arial" w:hAnsi="Arial" w:cs="Arial"/>
          <w:b w:val="0"/>
          <w:color w:val="000000"/>
          <w:sz w:val="24"/>
          <w:szCs w:val="24"/>
        </w:rPr>
        <w:t>tion 14 in order to inform our legislative decision-making.</w:t>
      </w:r>
    </w:p>
    <w:p w14:paraId="2D9074D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In meeting the key research objectives set out in sections 9 &amp; 10, this commission will support the Authority in making informed decisions as to how best to deliver these commitments.</w:t>
      </w:r>
    </w:p>
    <w:p w14:paraId="19DF8EAA" w14:textId="77777777" w:rsidR="00EC09F5" w:rsidRDefault="00035912">
      <w:pPr>
        <w:pStyle w:val="Heading1"/>
        <w:keepLines w:val="0"/>
        <w:numPr>
          <w:ilvl w:val="0"/>
          <w:numId w:val="6"/>
        </w:numPr>
        <w:spacing w:before="240" w:after="120" w:line="240" w:lineRule="auto"/>
        <w:rPr>
          <w:rFonts w:ascii="Arial" w:eastAsia="Arial" w:hAnsi="Arial" w:cs="Arial"/>
          <w:sz w:val="32"/>
          <w:szCs w:val="32"/>
        </w:rPr>
      </w:pPr>
      <w:bookmarkStart w:id="18" w:name="_heading=h.z337ya" w:colFirst="0" w:colLast="0"/>
      <w:bookmarkEnd w:id="18"/>
      <w:r>
        <w:rPr>
          <w:rFonts w:ascii="Arial" w:eastAsia="Arial" w:hAnsi="Arial" w:cs="Arial"/>
          <w:smallCaps/>
          <w:color w:val="000000"/>
          <w:sz w:val="32"/>
          <w:szCs w:val="32"/>
        </w:rPr>
        <w:t>Lot 2 - scop</w:t>
      </w:r>
      <w:r>
        <w:rPr>
          <w:rFonts w:ascii="Arial" w:eastAsia="Arial" w:hAnsi="Arial" w:cs="Arial"/>
          <w:smallCaps/>
          <w:color w:val="000000"/>
          <w:sz w:val="32"/>
          <w:szCs w:val="32"/>
        </w:rPr>
        <w:t xml:space="preserve">e of requirement </w:t>
      </w:r>
    </w:p>
    <w:p w14:paraId="3070BD77"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Interested Potential Suppliers should carefully read the requirements set out below and respond to the questions set out in the response guidance. </w:t>
      </w:r>
    </w:p>
    <w:p w14:paraId="7021506D"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Please note: The Supplier is to assume that all requirements are core requirements and sho</w:t>
      </w:r>
      <w:r>
        <w:rPr>
          <w:rFonts w:ascii="Arial" w:eastAsia="Arial" w:hAnsi="Arial" w:cs="Arial"/>
          <w:b w:val="0"/>
          <w:color w:val="000000"/>
          <w:sz w:val="24"/>
          <w:szCs w:val="24"/>
        </w:rPr>
        <w:t xml:space="preserve">uld therefore be included in the core contract price, unless otherwise specified. </w:t>
      </w:r>
    </w:p>
    <w:p w14:paraId="49174967"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is to implement all objectives and processes listed in their approaches once agreed and signed, if requested by the Authority.</w:t>
      </w:r>
    </w:p>
    <w:p w14:paraId="1D67CC29"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lastRenderedPageBreak/>
        <w:t xml:space="preserve">The Supplier will be required to </w:t>
      </w:r>
      <w:r>
        <w:rPr>
          <w:rFonts w:ascii="Arial" w:eastAsia="Arial" w:hAnsi="Arial" w:cs="Arial"/>
          <w:b w:val="0"/>
          <w:color w:val="000000"/>
          <w:sz w:val="24"/>
          <w:szCs w:val="24"/>
        </w:rPr>
        <w:t>work in close collaboration with the Authority, its advisory group and other Suppliers providing parallel work. In particular, Suppliers should collaborate closely when gaining access to cases to minimise the impact on source organisations.</w:t>
      </w:r>
    </w:p>
    <w:p w14:paraId="32100F45"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key objecti</w:t>
      </w:r>
      <w:r>
        <w:rPr>
          <w:rFonts w:ascii="Arial" w:eastAsia="Arial" w:hAnsi="Arial" w:cs="Arial"/>
          <w:b w:val="0"/>
          <w:color w:val="000000"/>
          <w:sz w:val="24"/>
          <w:szCs w:val="24"/>
        </w:rPr>
        <w:t xml:space="preserve">ves of </w:t>
      </w:r>
      <w:r>
        <w:rPr>
          <w:rFonts w:ascii="Arial" w:eastAsia="Arial" w:hAnsi="Arial" w:cs="Arial"/>
          <w:color w:val="000000"/>
          <w:sz w:val="24"/>
          <w:szCs w:val="24"/>
        </w:rPr>
        <w:t>Lot 2 Combined Discrimination</w:t>
      </w:r>
      <w:r>
        <w:rPr>
          <w:rFonts w:ascii="Arial" w:eastAsia="Arial" w:hAnsi="Arial" w:cs="Arial"/>
          <w:b w:val="0"/>
          <w:color w:val="000000"/>
          <w:sz w:val="24"/>
          <w:szCs w:val="24"/>
        </w:rPr>
        <w:t>, which the Supplier shall assist the Authority in delivering, are to:</w:t>
      </w:r>
    </w:p>
    <w:p w14:paraId="2D26A3C2" w14:textId="77777777" w:rsidR="00EC09F5" w:rsidRDefault="00035912">
      <w:pPr>
        <w:pStyle w:val="Heading3"/>
        <w:keepNext w:val="0"/>
        <w:keepLines w:val="0"/>
        <w:numPr>
          <w:ilvl w:val="2"/>
          <w:numId w:val="10"/>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 xml:space="preserve">Assess the prevalence, patterns, and characteristics of combined discrimination; </w:t>
      </w:r>
    </w:p>
    <w:p w14:paraId="3E650D36" w14:textId="77777777" w:rsidR="00EC09F5" w:rsidRDefault="00035912">
      <w:pPr>
        <w:pStyle w:val="Heading3"/>
        <w:keepNext w:val="0"/>
        <w:keepLines w:val="0"/>
        <w:numPr>
          <w:ilvl w:val="2"/>
          <w:numId w:val="10"/>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Understand the experiences of those experiencing combined discrimination, particularly in seeking redress, and any barriers to redress there may be;</w:t>
      </w:r>
    </w:p>
    <w:p w14:paraId="45B8B240" w14:textId="77777777" w:rsidR="00EC09F5" w:rsidRDefault="00035912">
      <w:pPr>
        <w:pStyle w:val="Heading3"/>
        <w:keepNext w:val="0"/>
        <w:keepLines w:val="0"/>
        <w:numPr>
          <w:ilvl w:val="2"/>
          <w:numId w:val="10"/>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 xml:space="preserve">Understand how instances </w:t>
      </w:r>
      <w:r>
        <w:rPr>
          <w:rFonts w:ascii="Arial" w:eastAsia="Arial" w:hAnsi="Arial" w:cs="Arial"/>
          <w:b w:val="0"/>
          <w:sz w:val="24"/>
          <w:szCs w:val="24"/>
        </w:rPr>
        <w:t>of combined discrimination are understood and interpreted by those involved, particularly in seeking redress;</w:t>
      </w:r>
    </w:p>
    <w:p w14:paraId="599B0EBA" w14:textId="77777777" w:rsidR="00EC09F5" w:rsidRDefault="00035912">
      <w:pPr>
        <w:pStyle w:val="Heading3"/>
        <w:keepNext w:val="0"/>
        <w:keepLines w:val="0"/>
        <w:numPr>
          <w:ilvl w:val="2"/>
          <w:numId w:val="10"/>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Understand how and in what ways particular factors beyond protected characteristics, such as socio-economic disadvantage, may intersect with discr</w:t>
      </w:r>
      <w:r>
        <w:rPr>
          <w:rFonts w:ascii="Arial" w:eastAsia="Arial" w:hAnsi="Arial" w:cs="Arial"/>
          <w:b w:val="0"/>
          <w:sz w:val="24"/>
          <w:szCs w:val="24"/>
        </w:rPr>
        <w:t>imination on the basis of protected characteristics.</w:t>
      </w:r>
    </w:p>
    <w:p w14:paraId="2C90C85E" w14:textId="77777777" w:rsidR="00EC09F5" w:rsidRDefault="00035912">
      <w:pPr>
        <w:pStyle w:val="Heading3"/>
        <w:keepNext w:val="0"/>
        <w:keepLines w:val="0"/>
        <w:numPr>
          <w:ilvl w:val="2"/>
          <w:numId w:val="10"/>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Draw conclusions as to the potential impact of commencing section 14 of the Equality Act 2010 on cases involving combined discrimination, the recognition and remedy it may provide, and any unintended con</w:t>
      </w:r>
      <w:r>
        <w:rPr>
          <w:rFonts w:ascii="Arial" w:eastAsia="Arial" w:hAnsi="Arial" w:cs="Arial"/>
          <w:b w:val="0"/>
          <w:sz w:val="24"/>
          <w:szCs w:val="24"/>
        </w:rPr>
        <w:t>sequences. This should include analysis of the potential impact of commencement on the prevalence of combined discrimination, the experience of seeking redress, as well as the impact on employers, service providers and the justice system.</w:t>
      </w:r>
    </w:p>
    <w:p w14:paraId="49638CF9" w14:textId="77777777" w:rsidR="00EC09F5" w:rsidRDefault="00035912">
      <w:pPr>
        <w:pStyle w:val="Heading3"/>
        <w:keepNext w:val="0"/>
        <w:keepLines w:val="0"/>
        <w:numPr>
          <w:ilvl w:val="2"/>
          <w:numId w:val="10"/>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 xml:space="preserve">Draw conclusions </w:t>
      </w:r>
      <w:r>
        <w:rPr>
          <w:rFonts w:ascii="Arial" w:eastAsia="Arial" w:hAnsi="Arial" w:cs="Arial"/>
          <w:b w:val="0"/>
          <w:sz w:val="24"/>
          <w:szCs w:val="24"/>
        </w:rPr>
        <w:t>as to whether any other steps can be taken to remove barriers to redress faced by those who experience combined discrimination. This should include analysis of the potential impact of these steps on the prevalence of combined discrimination, the experience</w:t>
      </w:r>
      <w:r>
        <w:rPr>
          <w:rFonts w:ascii="Arial" w:eastAsia="Arial" w:hAnsi="Arial" w:cs="Arial"/>
          <w:b w:val="0"/>
          <w:sz w:val="24"/>
          <w:szCs w:val="24"/>
        </w:rPr>
        <w:t xml:space="preserve"> of seeking redress, as well as the impact on employers, service providers and the justice system.</w:t>
      </w:r>
    </w:p>
    <w:p w14:paraId="0B240999"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Lot 2 research should distinguish between the different types of discrimination (i.e. direct discrimination, indirect discrimination, victimisation or ha</w:t>
      </w:r>
      <w:r>
        <w:rPr>
          <w:rFonts w:ascii="Arial" w:eastAsia="Arial" w:hAnsi="Arial" w:cs="Arial"/>
          <w:b w:val="0"/>
          <w:color w:val="000000"/>
          <w:sz w:val="24"/>
          <w:szCs w:val="24"/>
        </w:rPr>
        <w:t xml:space="preserve">rassment) in order to assess the prevalence of each. </w:t>
      </w:r>
    </w:p>
    <w:p w14:paraId="0090DD98"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Section 14 of the Equality Act 2010 prohibits combined discrimination in the fields covered by Part 3, 4, 5, 6 and 7 of the Act. The following areas are therefore in scope for the research:</w:t>
      </w:r>
    </w:p>
    <w:p w14:paraId="5091CDBC" w14:textId="77777777" w:rsidR="00EC09F5" w:rsidRDefault="00035912">
      <w:pPr>
        <w:pStyle w:val="Heading3"/>
        <w:keepNext w:val="0"/>
        <w:keepLines w:val="0"/>
        <w:numPr>
          <w:ilvl w:val="2"/>
          <w:numId w:val="8"/>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Employment</w:t>
      </w:r>
    </w:p>
    <w:p w14:paraId="048E8403" w14:textId="77777777" w:rsidR="00EC09F5" w:rsidRDefault="00035912">
      <w:pPr>
        <w:pStyle w:val="Heading3"/>
        <w:keepNext w:val="0"/>
        <w:keepLines w:val="0"/>
        <w:numPr>
          <w:ilvl w:val="2"/>
          <w:numId w:val="8"/>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S</w:t>
      </w:r>
      <w:r>
        <w:rPr>
          <w:rFonts w:ascii="Arial" w:eastAsia="Arial" w:hAnsi="Arial" w:cs="Arial"/>
          <w:b w:val="0"/>
          <w:sz w:val="24"/>
          <w:szCs w:val="24"/>
        </w:rPr>
        <w:t>ervices and public functions</w:t>
      </w:r>
    </w:p>
    <w:p w14:paraId="6A6B1671" w14:textId="77777777" w:rsidR="00EC09F5" w:rsidRDefault="00035912">
      <w:pPr>
        <w:pStyle w:val="Heading3"/>
        <w:keepNext w:val="0"/>
        <w:keepLines w:val="0"/>
        <w:numPr>
          <w:ilvl w:val="2"/>
          <w:numId w:val="8"/>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lastRenderedPageBreak/>
        <w:t>Housing</w:t>
      </w:r>
    </w:p>
    <w:p w14:paraId="2948E576" w14:textId="77777777" w:rsidR="00EC09F5" w:rsidRDefault="00035912">
      <w:pPr>
        <w:pStyle w:val="Heading3"/>
        <w:keepNext w:val="0"/>
        <w:keepLines w:val="0"/>
        <w:numPr>
          <w:ilvl w:val="2"/>
          <w:numId w:val="8"/>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Education</w:t>
      </w:r>
    </w:p>
    <w:p w14:paraId="6C97B5BC" w14:textId="77777777" w:rsidR="00EC09F5" w:rsidRDefault="00035912">
      <w:pPr>
        <w:pStyle w:val="Heading3"/>
        <w:keepNext w:val="0"/>
        <w:keepLines w:val="0"/>
        <w:numPr>
          <w:ilvl w:val="2"/>
          <w:numId w:val="8"/>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Associations</w:t>
      </w:r>
    </w:p>
    <w:p w14:paraId="1323CD48"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The headline requirements for Lot 2, which the Supplier shall be required to deliver, are as follows: </w:t>
      </w:r>
    </w:p>
    <w:p w14:paraId="5F8710DB" w14:textId="77777777" w:rsidR="00EC09F5" w:rsidRDefault="00035912">
      <w:pPr>
        <w:pStyle w:val="Heading3"/>
        <w:keepNext w:val="0"/>
        <w:keepLines w:val="0"/>
        <w:numPr>
          <w:ilvl w:val="2"/>
          <w:numId w:val="16"/>
        </w:numPr>
        <w:spacing w:before="0" w:after="240" w:line="240" w:lineRule="auto"/>
        <w:ind w:hanging="381"/>
        <w:jc w:val="both"/>
        <w:rPr>
          <w:rFonts w:ascii="Arial" w:eastAsia="Arial" w:hAnsi="Arial" w:cs="Arial"/>
          <w:sz w:val="24"/>
          <w:szCs w:val="24"/>
        </w:rPr>
      </w:pPr>
      <w:r>
        <w:rPr>
          <w:rFonts w:ascii="Arial" w:eastAsia="Arial" w:hAnsi="Arial" w:cs="Arial"/>
          <w:b w:val="0"/>
          <w:sz w:val="24"/>
          <w:szCs w:val="24"/>
        </w:rPr>
        <w:t>Review, access and select appropriate cases for combined discrimination review.</w:t>
      </w:r>
    </w:p>
    <w:p w14:paraId="5B9E8942" w14:textId="77777777" w:rsidR="00EC09F5" w:rsidRDefault="00035912">
      <w:pPr>
        <w:pStyle w:val="Heading3"/>
        <w:keepNext w:val="0"/>
        <w:keepLines w:val="0"/>
        <w:numPr>
          <w:ilvl w:val="2"/>
          <w:numId w:val="16"/>
        </w:numPr>
        <w:spacing w:before="0" w:after="240" w:line="240" w:lineRule="auto"/>
        <w:ind w:hanging="381"/>
        <w:jc w:val="both"/>
        <w:rPr>
          <w:rFonts w:ascii="Arial" w:eastAsia="Arial" w:hAnsi="Arial" w:cs="Arial"/>
          <w:sz w:val="24"/>
          <w:szCs w:val="24"/>
        </w:rPr>
      </w:pPr>
      <w:r>
        <w:rPr>
          <w:rFonts w:ascii="Arial" w:eastAsia="Arial" w:hAnsi="Arial" w:cs="Arial"/>
          <w:b w:val="0"/>
          <w:sz w:val="24"/>
          <w:szCs w:val="24"/>
        </w:rPr>
        <w:t>Analysis of c</w:t>
      </w:r>
      <w:r>
        <w:rPr>
          <w:rFonts w:ascii="Arial" w:eastAsia="Arial" w:hAnsi="Arial" w:cs="Arial"/>
          <w:b w:val="0"/>
          <w:sz w:val="24"/>
          <w:szCs w:val="24"/>
        </w:rPr>
        <w:t>ases and barriers to bringing them.</w:t>
      </w:r>
    </w:p>
    <w:p w14:paraId="6C0491CD" w14:textId="77777777" w:rsidR="00EC09F5" w:rsidRDefault="00035912">
      <w:pPr>
        <w:pStyle w:val="Heading3"/>
        <w:keepNext w:val="0"/>
        <w:keepLines w:val="0"/>
        <w:numPr>
          <w:ilvl w:val="2"/>
          <w:numId w:val="16"/>
        </w:numPr>
        <w:spacing w:before="0" w:after="240" w:line="240" w:lineRule="auto"/>
        <w:ind w:hanging="381"/>
        <w:jc w:val="both"/>
        <w:rPr>
          <w:rFonts w:ascii="Arial" w:eastAsia="Arial" w:hAnsi="Arial" w:cs="Arial"/>
          <w:sz w:val="24"/>
          <w:szCs w:val="24"/>
        </w:rPr>
      </w:pPr>
      <w:r>
        <w:rPr>
          <w:rFonts w:ascii="Arial" w:eastAsia="Arial" w:hAnsi="Arial" w:cs="Arial"/>
          <w:b w:val="0"/>
          <w:sz w:val="24"/>
          <w:szCs w:val="24"/>
        </w:rPr>
        <w:t>The Supplier is to participate in an advisory group overseeing a parallel stream of lived experience research and also provide socio-legal expertise as part of the advisory group.</w:t>
      </w:r>
    </w:p>
    <w:p w14:paraId="065A43BC" w14:textId="77777777" w:rsidR="00EC09F5" w:rsidRDefault="00035912">
      <w:pPr>
        <w:pStyle w:val="Heading3"/>
        <w:keepNext w:val="0"/>
        <w:keepLines w:val="0"/>
        <w:numPr>
          <w:ilvl w:val="2"/>
          <w:numId w:val="16"/>
        </w:numPr>
        <w:spacing w:before="0" w:after="240" w:line="240" w:lineRule="auto"/>
        <w:ind w:hanging="381"/>
        <w:jc w:val="both"/>
        <w:rPr>
          <w:rFonts w:ascii="Arial" w:eastAsia="Arial" w:hAnsi="Arial" w:cs="Arial"/>
          <w:sz w:val="24"/>
          <w:szCs w:val="24"/>
        </w:rPr>
      </w:pPr>
      <w:r>
        <w:rPr>
          <w:rFonts w:ascii="Arial" w:eastAsia="Arial" w:hAnsi="Arial" w:cs="Arial"/>
          <w:b w:val="0"/>
          <w:sz w:val="24"/>
          <w:szCs w:val="24"/>
        </w:rPr>
        <w:t>Provide interim findings to update the Authority on progress</w:t>
      </w:r>
    </w:p>
    <w:p w14:paraId="4FE54A41" w14:textId="77777777" w:rsidR="00EC09F5" w:rsidRDefault="00035912">
      <w:pPr>
        <w:pStyle w:val="Heading3"/>
        <w:keepNext w:val="0"/>
        <w:keepLines w:val="0"/>
        <w:numPr>
          <w:ilvl w:val="2"/>
          <w:numId w:val="16"/>
        </w:numPr>
        <w:spacing w:before="0" w:after="240" w:line="240" w:lineRule="auto"/>
        <w:ind w:hanging="381"/>
        <w:jc w:val="both"/>
        <w:rPr>
          <w:rFonts w:ascii="Arial" w:eastAsia="Arial" w:hAnsi="Arial" w:cs="Arial"/>
          <w:sz w:val="24"/>
          <w:szCs w:val="24"/>
        </w:rPr>
      </w:pPr>
      <w:r>
        <w:rPr>
          <w:rFonts w:ascii="Arial" w:eastAsia="Arial" w:hAnsi="Arial" w:cs="Arial"/>
          <w:b w:val="0"/>
          <w:sz w:val="24"/>
          <w:szCs w:val="24"/>
        </w:rPr>
        <w:t>A final report,</w:t>
      </w:r>
      <w:r>
        <w:rPr>
          <w:rFonts w:ascii="Arial" w:eastAsia="Arial" w:hAnsi="Arial" w:cs="Arial"/>
          <w:b w:val="0"/>
          <w:sz w:val="24"/>
          <w:szCs w:val="24"/>
        </w:rPr>
        <w:t xml:space="preserve"> incorporating findings from the parallel lived experience research.</w:t>
      </w:r>
    </w:p>
    <w:p w14:paraId="2A5E79FA" w14:textId="77777777" w:rsidR="00EC09F5" w:rsidRDefault="00035912">
      <w:pPr>
        <w:pStyle w:val="Heading1"/>
        <w:keepLines w:val="0"/>
        <w:numPr>
          <w:ilvl w:val="0"/>
          <w:numId w:val="6"/>
        </w:numPr>
        <w:spacing w:before="0" w:after="120" w:line="240" w:lineRule="auto"/>
        <w:rPr>
          <w:rFonts w:ascii="Arial" w:eastAsia="Arial" w:hAnsi="Arial" w:cs="Arial"/>
          <w:sz w:val="32"/>
          <w:szCs w:val="32"/>
        </w:rPr>
      </w:pPr>
      <w:bookmarkStart w:id="19" w:name="_heading=h.3j2qqm3" w:colFirst="0" w:colLast="0"/>
      <w:bookmarkEnd w:id="19"/>
      <w:r>
        <w:rPr>
          <w:rFonts w:ascii="Arial" w:eastAsia="Arial" w:hAnsi="Arial" w:cs="Arial"/>
          <w:smallCaps/>
          <w:color w:val="000000"/>
          <w:sz w:val="32"/>
          <w:szCs w:val="32"/>
        </w:rPr>
        <w:t>Lot 2 - The requirement</w:t>
      </w:r>
    </w:p>
    <w:p w14:paraId="057A47E9"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following sections outline requirements related to each headline requirement in more detail.</w:t>
      </w:r>
    </w:p>
    <w:p w14:paraId="3F257230" w14:textId="77777777" w:rsidR="00EC09F5" w:rsidRDefault="00035912">
      <w:pPr>
        <w:numPr>
          <w:ilvl w:val="1"/>
          <w:numId w:val="1"/>
        </w:numPr>
        <w:spacing w:after="240" w:line="240" w:lineRule="auto"/>
        <w:rPr>
          <w:rFonts w:ascii="Arial" w:eastAsia="Arial" w:hAnsi="Arial" w:cs="Arial"/>
          <w:b/>
          <w:sz w:val="24"/>
          <w:szCs w:val="24"/>
        </w:rPr>
      </w:pPr>
      <w:r>
        <w:rPr>
          <w:rFonts w:ascii="Arial" w:eastAsia="Arial" w:hAnsi="Arial" w:cs="Arial"/>
          <w:b/>
          <w:sz w:val="24"/>
          <w:szCs w:val="24"/>
        </w:rPr>
        <w:t>Access and select appropriate cases</w:t>
      </w:r>
    </w:p>
    <w:p w14:paraId="1A9A6C4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shall identify and establish relationships with organisations holding records of queries, complaints and cases</w:t>
      </w:r>
      <w:r>
        <w:rPr>
          <w:rFonts w:ascii="Arial" w:eastAsia="Arial" w:hAnsi="Arial" w:cs="Arial"/>
          <w:b w:val="0"/>
          <w:color w:val="000000"/>
          <w:sz w:val="24"/>
          <w:szCs w:val="24"/>
        </w:rPr>
        <w:t xml:space="preserve"> relating to combined for the purposes of this research. This may include organisations providing advice, support, arbitration, conciliation, representation and other such services where discrimination is suspected or alleged. The Authority has established</w:t>
      </w:r>
      <w:r>
        <w:rPr>
          <w:rFonts w:ascii="Arial" w:eastAsia="Arial" w:hAnsi="Arial" w:cs="Arial"/>
          <w:b w:val="0"/>
          <w:color w:val="000000"/>
          <w:sz w:val="24"/>
          <w:szCs w:val="24"/>
        </w:rPr>
        <w:t xml:space="preserve"> relationships with a number of organisations who undertake such activity and hold such records and, where this is the case, will support the Supplier in establishing these relationships and securing agreement to access the relevant data. This management i</w:t>
      </w:r>
      <w:r>
        <w:rPr>
          <w:rFonts w:ascii="Arial" w:eastAsia="Arial" w:hAnsi="Arial" w:cs="Arial"/>
          <w:b w:val="0"/>
          <w:color w:val="000000"/>
          <w:sz w:val="24"/>
          <w:szCs w:val="24"/>
        </w:rPr>
        <w:t>nformation will comprise the sample frame from which the Supplier shall select cases. The Supplier should seek out organisations that will ensure a breadth of coverage. Selection of cases should be discussed with the Authority to ensure that all aspects of</w:t>
      </w:r>
      <w:r>
        <w:rPr>
          <w:rFonts w:ascii="Arial" w:eastAsia="Arial" w:hAnsi="Arial" w:cs="Arial"/>
          <w:b w:val="0"/>
          <w:color w:val="000000"/>
          <w:sz w:val="24"/>
          <w:szCs w:val="24"/>
        </w:rPr>
        <w:t xml:space="preserve"> combined discrimination are covered.</w:t>
      </w:r>
    </w:p>
    <w:p w14:paraId="313905FC"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Authority requires the Supplier to source and access discrimination complaints (whether successful or not) relating to combined discrimination. Any costs associated with accessing cases should be included in the co</w:t>
      </w:r>
      <w:r>
        <w:rPr>
          <w:rFonts w:ascii="Arial" w:eastAsia="Arial" w:hAnsi="Arial" w:cs="Arial"/>
          <w:b w:val="0"/>
          <w:color w:val="000000"/>
          <w:sz w:val="24"/>
          <w:szCs w:val="24"/>
        </w:rPr>
        <w:t>re contract price.</w:t>
      </w:r>
    </w:p>
    <w:p w14:paraId="73A769BD"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For the purposes of this research, the Authority is defining combined discrimination as discrimination that is based on a combination of protected </w:t>
      </w:r>
      <w:r>
        <w:rPr>
          <w:rFonts w:ascii="Arial" w:eastAsia="Arial" w:hAnsi="Arial" w:cs="Arial"/>
          <w:b w:val="0"/>
          <w:color w:val="000000"/>
          <w:sz w:val="24"/>
          <w:szCs w:val="24"/>
        </w:rPr>
        <w:lastRenderedPageBreak/>
        <w:t xml:space="preserve">characteristics. The protected characteristics are: age, disability, gender reassignment, </w:t>
      </w:r>
      <w:r>
        <w:rPr>
          <w:rFonts w:ascii="Arial" w:eastAsia="Arial" w:hAnsi="Arial" w:cs="Arial"/>
          <w:b w:val="0"/>
          <w:color w:val="000000"/>
          <w:sz w:val="24"/>
          <w:szCs w:val="24"/>
        </w:rPr>
        <w:t xml:space="preserve">marriage and civil partnership, pregnancy and maternity, race, religion or belief, sex, and sexual orientation. </w:t>
      </w:r>
    </w:p>
    <w:p w14:paraId="789065A7"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research should give due consideration to complaints involving direct discrimination, indirect discrimination, victimisation and harassment</w:t>
      </w:r>
      <w:r>
        <w:rPr>
          <w:rFonts w:ascii="Arial" w:eastAsia="Arial" w:hAnsi="Arial" w:cs="Arial"/>
          <w:b w:val="0"/>
          <w:color w:val="000000"/>
          <w:sz w:val="24"/>
          <w:szCs w:val="24"/>
        </w:rPr>
        <w:t>. The research should distinguish between these different types of discrimination in order to be able to draw distinct conclusions as to the prevalence of combined discrimination involving each.</w:t>
      </w:r>
    </w:p>
    <w:p w14:paraId="5698AA62"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The Supplier should also ensure the sample of cases covers </w:t>
      </w:r>
    </w:p>
    <w:p w14:paraId="39CD4F0A" w14:textId="77777777" w:rsidR="00EC09F5" w:rsidRDefault="00035912">
      <w:pPr>
        <w:pStyle w:val="Heading3"/>
        <w:keepNext w:val="0"/>
        <w:keepLines w:val="0"/>
        <w:numPr>
          <w:ilvl w:val="2"/>
          <w:numId w:val="12"/>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d</w:t>
      </w:r>
      <w:r>
        <w:rPr>
          <w:rFonts w:ascii="Arial" w:eastAsia="Arial" w:hAnsi="Arial" w:cs="Arial"/>
          <w:b w:val="0"/>
          <w:sz w:val="24"/>
          <w:szCs w:val="24"/>
        </w:rPr>
        <w:t>ifferent sectors of the economy</w:t>
      </w:r>
    </w:p>
    <w:p w14:paraId="145DF985" w14:textId="77777777" w:rsidR="00EC09F5" w:rsidRDefault="00035912">
      <w:pPr>
        <w:pStyle w:val="Heading3"/>
        <w:keepNext w:val="0"/>
        <w:keepLines w:val="0"/>
        <w:numPr>
          <w:ilvl w:val="2"/>
          <w:numId w:val="12"/>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different employer types and sizes</w:t>
      </w:r>
    </w:p>
    <w:p w14:paraId="743A1058" w14:textId="77777777" w:rsidR="00EC09F5" w:rsidRDefault="00035912">
      <w:pPr>
        <w:pStyle w:val="Heading3"/>
        <w:keepNext w:val="0"/>
        <w:keepLines w:val="0"/>
        <w:numPr>
          <w:ilvl w:val="2"/>
          <w:numId w:val="12"/>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a broad geographical area, including rural and urban areas.</w:t>
      </w:r>
    </w:p>
    <w:p w14:paraId="7292068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should provide regular reviews of coverage to the Authority to help identify and close any gaps or mitigate risks of</w:t>
      </w:r>
      <w:r>
        <w:rPr>
          <w:rFonts w:ascii="Arial" w:eastAsia="Arial" w:hAnsi="Arial" w:cs="Arial"/>
          <w:b w:val="0"/>
          <w:color w:val="000000"/>
          <w:sz w:val="24"/>
          <w:szCs w:val="24"/>
        </w:rPr>
        <w:t xml:space="preserve"> non-availability.</w:t>
      </w:r>
    </w:p>
    <w:p w14:paraId="6711BEA9" w14:textId="77777777" w:rsidR="00EC09F5" w:rsidRDefault="00035912">
      <w:pPr>
        <w:numPr>
          <w:ilvl w:val="1"/>
          <w:numId w:val="1"/>
        </w:numPr>
        <w:spacing w:after="240" w:line="240" w:lineRule="auto"/>
        <w:rPr>
          <w:rFonts w:ascii="Arial" w:eastAsia="Arial" w:hAnsi="Arial" w:cs="Arial"/>
          <w:b/>
          <w:sz w:val="24"/>
          <w:szCs w:val="24"/>
        </w:rPr>
      </w:pPr>
      <w:r>
        <w:rPr>
          <w:rFonts w:ascii="Arial" w:eastAsia="Arial" w:hAnsi="Arial" w:cs="Arial"/>
          <w:b/>
          <w:sz w:val="24"/>
          <w:szCs w:val="24"/>
        </w:rPr>
        <w:t>Analysis</w:t>
      </w:r>
    </w:p>
    <w:p w14:paraId="2ECC5434"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shall develop an analytical framework for Lot 2 in collaboration with the Authority to ensure all aspects of the policy requirements are covered and defined appropriately.</w:t>
      </w:r>
    </w:p>
    <w:p w14:paraId="6FC71D90"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analytical framework will include an ou</w:t>
      </w:r>
      <w:r>
        <w:rPr>
          <w:rFonts w:ascii="Arial" w:eastAsia="Arial" w:hAnsi="Arial" w:cs="Arial"/>
          <w:b w:val="0"/>
          <w:color w:val="000000"/>
          <w:sz w:val="24"/>
          <w:szCs w:val="24"/>
        </w:rPr>
        <w:t xml:space="preserve">tline of the quality assurance the supplier will carry out and how they will ensure the analysis and outputs comply with the </w:t>
      </w:r>
      <w:hyperlink r:id="rId11">
        <w:r>
          <w:rPr>
            <w:rFonts w:ascii="Arial" w:eastAsia="Arial" w:hAnsi="Arial" w:cs="Arial"/>
            <w:b w:val="0"/>
            <w:color w:val="0000FF"/>
            <w:sz w:val="24"/>
            <w:szCs w:val="24"/>
            <w:u w:val="single"/>
          </w:rPr>
          <w:t>A</w:t>
        </w:r>
        <w:r>
          <w:rPr>
            <w:rFonts w:ascii="Arial" w:eastAsia="Arial" w:hAnsi="Arial" w:cs="Arial"/>
            <w:b w:val="0"/>
            <w:color w:val="0000FF"/>
            <w:sz w:val="24"/>
            <w:szCs w:val="24"/>
            <w:u w:val="single"/>
          </w:rPr>
          <w:t>qua Book</w:t>
        </w:r>
      </w:hyperlink>
      <w:r>
        <w:rPr>
          <w:rFonts w:ascii="Arial" w:eastAsia="Arial" w:hAnsi="Arial" w:cs="Arial"/>
          <w:b w:val="0"/>
          <w:color w:val="000000"/>
          <w:sz w:val="24"/>
          <w:szCs w:val="24"/>
        </w:rPr>
        <w:t>. This is essential for providing the Authority with reasonable assurance of the quality of the work.</w:t>
      </w:r>
    </w:p>
    <w:p w14:paraId="44C612E0"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thematic analysis will provide key evidence to inform ways to address pay discrimination on the basis of race and disability. It should build on findings from the literature review and provide actionable insights for developing the legislation. Emergin</w:t>
      </w:r>
      <w:r>
        <w:rPr>
          <w:rFonts w:ascii="Arial" w:eastAsia="Arial" w:hAnsi="Arial" w:cs="Arial"/>
          <w:b w:val="0"/>
          <w:color w:val="000000"/>
          <w:sz w:val="24"/>
          <w:szCs w:val="24"/>
        </w:rPr>
        <w:t>g findings should be shared with the Authority as soon as available in order to inform key policy decisions.</w:t>
      </w:r>
    </w:p>
    <w:p w14:paraId="7DCEF510"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shall conduct thematic analysis on the cases in relation to the overarching research questions and sub-questions detailed below. The S</w:t>
      </w:r>
      <w:r>
        <w:rPr>
          <w:rFonts w:ascii="Arial" w:eastAsia="Arial" w:hAnsi="Arial" w:cs="Arial"/>
          <w:b w:val="0"/>
          <w:color w:val="000000"/>
          <w:sz w:val="24"/>
          <w:szCs w:val="24"/>
        </w:rPr>
        <w:t xml:space="preserve">upplier shall also identify and incorporate emerging themes that are relevant to the subjects and questions throughout the data analysis process. </w:t>
      </w:r>
    </w:p>
    <w:p w14:paraId="079C50E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should address the following questions, though the Authority is open to modifications and additi</w:t>
      </w:r>
      <w:r>
        <w:rPr>
          <w:rFonts w:ascii="Arial" w:eastAsia="Arial" w:hAnsi="Arial" w:cs="Arial"/>
          <w:b w:val="0"/>
          <w:color w:val="000000"/>
          <w:sz w:val="24"/>
          <w:szCs w:val="24"/>
        </w:rPr>
        <w:t>onal questions where necessary:</w:t>
      </w:r>
    </w:p>
    <w:p w14:paraId="12D8DC47"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r>
        <w:rPr>
          <w:rFonts w:ascii="Arial" w:eastAsia="Arial" w:hAnsi="Arial" w:cs="Arial"/>
          <w:b w:val="0"/>
          <w:sz w:val="24"/>
          <w:szCs w:val="24"/>
        </w:rPr>
        <w:t>What is the prevalence of discrimination complaints or claims made on the basis of more than one protected characteristic? Consider:</w:t>
      </w:r>
    </w:p>
    <w:p w14:paraId="24875D45" w14:textId="77777777" w:rsidR="00EC09F5" w:rsidRDefault="00035912">
      <w:pPr>
        <w:pStyle w:val="Heading3"/>
        <w:keepNext w:val="0"/>
        <w:keepLines w:val="0"/>
        <w:numPr>
          <w:ilvl w:val="2"/>
          <w:numId w:val="13"/>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lastRenderedPageBreak/>
        <w:t>What type of discrimination (direct or indirect) or harassment is more prevalent?</w:t>
      </w:r>
    </w:p>
    <w:p w14:paraId="7811F2DC" w14:textId="77777777" w:rsidR="00EC09F5" w:rsidRDefault="00035912">
      <w:pPr>
        <w:pStyle w:val="Heading3"/>
        <w:keepNext w:val="0"/>
        <w:keepLines w:val="0"/>
        <w:numPr>
          <w:ilvl w:val="2"/>
          <w:numId w:val="13"/>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Are there particular combinations of protected characteristics that are more common?</w:t>
      </w:r>
    </w:p>
    <w:p w14:paraId="639ED71C"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r>
        <w:rPr>
          <w:rFonts w:ascii="Arial" w:eastAsia="Arial" w:hAnsi="Arial" w:cs="Arial"/>
          <w:b w:val="0"/>
          <w:sz w:val="24"/>
          <w:szCs w:val="24"/>
        </w:rPr>
        <w:t>In what ways have claims been taken forward, given that section 14 has not been commenced</w:t>
      </w:r>
      <w:r>
        <w:rPr>
          <w:rFonts w:ascii="Arial" w:eastAsia="Arial" w:hAnsi="Arial" w:cs="Arial"/>
          <w:b w:val="0"/>
          <w:sz w:val="24"/>
          <w:szCs w:val="24"/>
        </w:rPr>
        <w:t>? Consider:</w:t>
      </w:r>
    </w:p>
    <w:p w14:paraId="5FAF2A4E" w14:textId="77777777" w:rsidR="00EC09F5" w:rsidRDefault="00035912">
      <w:pPr>
        <w:pStyle w:val="Heading3"/>
        <w:keepNext w:val="0"/>
        <w:keepLines w:val="0"/>
        <w:numPr>
          <w:ilvl w:val="2"/>
          <w:numId w:val="2"/>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What conclusions can be drawn from the outcomes of such claims?</w:t>
      </w:r>
    </w:p>
    <w:p w14:paraId="5DF6EA12" w14:textId="77777777" w:rsidR="00EC09F5" w:rsidRDefault="00035912">
      <w:pPr>
        <w:pStyle w:val="Heading3"/>
        <w:keepNext w:val="0"/>
        <w:keepLines w:val="0"/>
        <w:numPr>
          <w:ilvl w:val="2"/>
          <w:numId w:val="2"/>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Would the commencement of s14 have allowed more of these claims to be made, or made the claims taken forward in other ways easier?</w:t>
      </w:r>
    </w:p>
    <w:p w14:paraId="647E986B" w14:textId="77777777" w:rsidR="00EC09F5" w:rsidRDefault="00035912">
      <w:pPr>
        <w:pStyle w:val="Heading3"/>
        <w:keepNext w:val="0"/>
        <w:keepLines w:val="0"/>
        <w:numPr>
          <w:ilvl w:val="2"/>
          <w:numId w:val="2"/>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Could there be any adverse consequences in the co</w:t>
      </w:r>
      <w:r>
        <w:rPr>
          <w:rFonts w:ascii="Arial" w:eastAsia="Arial" w:hAnsi="Arial" w:cs="Arial"/>
          <w:b w:val="0"/>
          <w:sz w:val="24"/>
          <w:szCs w:val="24"/>
        </w:rPr>
        <w:t>mmencement of section 14? How could these be mitigated?</w:t>
      </w:r>
    </w:p>
    <w:p w14:paraId="67AA1F94" w14:textId="77777777" w:rsidR="00EC09F5" w:rsidRDefault="00035912">
      <w:pPr>
        <w:numPr>
          <w:ilvl w:val="1"/>
          <w:numId w:val="1"/>
        </w:numPr>
        <w:spacing w:after="240" w:line="240" w:lineRule="auto"/>
        <w:rPr>
          <w:rFonts w:ascii="Arial" w:eastAsia="Arial" w:hAnsi="Arial" w:cs="Arial"/>
          <w:b/>
          <w:sz w:val="24"/>
          <w:szCs w:val="24"/>
        </w:rPr>
      </w:pPr>
      <w:r>
        <w:rPr>
          <w:rFonts w:ascii="Arial" w:eastAsia="Arial" w:hAnsi="Arial" w:cs="Arial"/>
          <w:b/>
          <w:sz w:val="24"/>
          <w:szCs w:val="24"/>
        </w:rPr>
        <w:t>Advisory group</w:t>
      </w:r>
    </w:p>
    <w:p w14:paraId="048A6163"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Authority is commissioning separate research into people’s lived experience of pay discrimination on the basis of race, disability and sex; and lived experience of combined discrimi</w:t>
      </w:r>
      <w:r>
        <w:rPr>
          <w:rFonts w:ascii="Arial" w:eastAsia="Arial" w:hAnsi="Arial" w:cs="Arial"/>
          <w:b w:val="0"/>
          <w:color w:val="000000"/>
          <w:sz w:val="24"/>
          <w:szCs w:val="24"/>
        </w:rPr>
        <w:t>nation. To ensure coherence and socio-legal expertise across both the socio-legal and lived experience research, the Authority requires the Supplier of Lot 1 to coordinate an advisory group overseeing the lived experience research.</w:t>
      </w:r>
    </w:p>
    <w:p w14:paraId="4BC6C6A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of Lot 2 wi</w:t>
      </w:r>
      <w:r>
        <w:rPr>
          <w:rFonts w:ascii="Arial" w:eastAsia="Arial" w:hAnsi="Arial" w:cs="Arial"/>
          <w:b w:val="0"/>
          <w:color w:val="000000"/>
          <w:sz w:val="24"/>
          <w:szCs w:val="24"/>
        </w:rPr>
        <w:t>ll be required to participate in the Advisory group and provide constructive feedback on topic guides, coding frameworks and interim results produced by the Supplier(s) of the lived experience research.</w:t>
      </w:r>
    </w:p>
    <w:p w14:paraId="23C04E56" w14:textId="77777777" w:rsidR="00EC09F5" w:rsidRDefault="00035912">
      <w:pPr>
        <w:numPr>
          <w:ilvl w:val="1"/>
          <w:numId w:val="1"/>
        </w:numPr>
        <w:spacing w:after="240" w:line="240" w:lineRule="auto"/>
        <w:rPr>
          <w:rFonts w:ascii="Arial" w:eastAsia="Arial" w:hAnsi="Arial" w:cs="Arial"/>
          <w:b/>
          <w:sz w:val="24"/>
          <w:szCs w:val="24"/>
        </w:rPr>
      </w:pPr>
      <w:r>
        <w:rPr>
          <w:rFonts w:ascii="Arial" w:eastAsia="Arial" w:hAnsi="Arial" w:cs="Arial"/>
          <w:b/>
          <w:sz w:val="24"/>
          <w:szCs w:val="24"/>
        </w:rPr>
        <w:t>Interim findings</w:t>
      </w:r>
    </w:p>
    <w:p w14:paraId="238A0645"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shall provide interim f</w:t>
      </w:r>
      <w:r>
        <w:rPr>
          <w:rFonts w:ascii="Arial" w:eastAsia="Arial" w:hAnsi="Arial" w:cs="Arial"/>
          <w:b w:val="0"/>
          <w:color w:val="000000"/>
          <w:sz w:val="24"/>
          <w:szCs w:val="24"/>
        </w:rPr>
        <w:t>indings to the Authority by the deadlines outlined in “11. Lot 2 - Key Milestones and Deliverables”. These findings shall be used for internal purposes only at this stage, therefore outputs do not need to be fully complete or fully formatted. However, they</w:t>
      </w:r>
      <w:r>
        <w:rPr>
          <w:rFonts w:ascii="Arial" w:eastAsia="Arial" w:hAnsi="Arial" w:cs="Arial"/>
          <w:b w:val="0"/>
          <w:color w:val="000000"/>
          <w:sz w:val="24"/>
          <w:szCs w:val="24"/>
        </w:rPr>
        <w:t xml:space="preserve"> should be fully quality-assured and presented in a clear and accessible manner so that they can be shared with internal colleagues and stakeholders where necessary. </w:t>
      </w:r>
    </w:p>
    <w:p w14:paraId="011F546B"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should hold an informal discussion or presentation of findings with the Auth</w:t>
      </w:r>
      <w:r>
        <w:rPr>
          <w:rFonts w:ascii="Arial" w:eastAsia="Arial" w:hAnsi="Arial" w:cs="Arial"/>
          <w:b w:val="0"/>
          <w:color w:val="000000"/>
          <w:sz w:val="24"/>
          <w:szCs w:val="24"/>
        </w:rPr>
        <w:t>ority on the interim findings to aid understanding, clarify the scope and focus of analysis, and ensure that policy questions of interest are covered where possible.</w:t>
      </w:r>
    </w:p>
    <w:p w14:paraId="29F64E0F" w14:textId="77777777" w:rsidR="00EC09F5" w:rsidRDefault="00035912">
      <w:pPr>
        <w:numPr>
          <w:ilvl w:val="1"/>
          <w:numId w:val="1"/>
        </w:numPr>
        <w:spacing w:after="240" w:line="240" w:lineRule="auto"/>
        <w:rPr>
          <w:rFonts w:ascii="Arial" w:eastAsia="Arial" w:hAnsi="Arial" w:cs="Arial"/>
          <w:b/>
          <w:sz w:val="24"/>
          <w:szCs w:val="24"/>
        </w:rPr>
      </w:pPr>
      <w:r>
        <w:rPr>
          <w:rFonts w:ascii="Arial" w:eastAsia="Arial" w:hAnsi="Arial" w:cs="Arial"/>
          <w:b/>
          <w:sz w:val="24"/>
          <w:szCs w:val="24"/>
        </w:rPr>
        <w:t>Final report</w:t>
      </w:r>
    </w:p>
    <w:p w14:paraId="691D7056"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The Supplier is required to produce a final report for each lot which should </w:t>
      </w:r>
      <w:r>
        <w:rPr>
          <w:rFonts w:ascii="Arial" w:eastAsia="Arial" w:hAnsi="Arial" w:cs="Arial"/>
          <w:b w:val="0"/>
          <w:color w:val="000000"/>
          <w:sz w:val="24"/>
          <w:szCs w:val="24"/>
        </w:rPr>
        <w:t xml:space="preserve">be signed off by the Authority by the beginning of June 2025 and will be published by the Authority in Summer 2025. The Supplier should consider a realistic timeline to allow time for review and comment from the Authority and relevant </w:t>
      </w:r>
      <w:r>
        <w:rPr>
          <w:rFonts w:ascii="Arial" w:eastAsia="Arial" w:hAnsi="Arial" w:cs="Arial"/>
          <w:b w:val="0"/>
          <w:color w:val="000000"/>
          <w:sz w:val="24"/>
          <w:szCs w:val="24"/>
        </w:rPr>
        <w:lastRenderedPageBreak/>
        <w:t>stakeholders prior to</w:t>
      </w:r>
      <w:r>
        <w:rPr>
          <w:rFonts w:ascii="Arial" w:eastAsia="Arial" w:hAnsi="Arial" w:cs="Arial"/>
          <w:b w:val="0"/>
          <w:color w:val="000000"/>
          <w:sz w:val="24"/>
          <w:szCs w:val="24"/>
        </w:rPr>
        <w:t xml:space="preserve"> this deadline. Therefore, a first draft of the final report should be submitted at the end of April in order for review, comments, and redrafts to take place in May 2025.</w:t>
      </w:r>
    </w:p>
    <w:p w14:paraId="296B853F"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Authority requires that near final drafts should be fully proof read and signed-</w:t>
      </w:r>
      <w:r>
        <w:rPr>
          <w:rFonts w:ascii="Arial" w:eastAsia="Arial" w:hAnsi="Arial" w:cs="Arial"/>
          <w:b w:val="0"/>
          <w:color w:val="000000"/>
          <w:sz w:val="24"/>
          <w:szCs w:val="24"/>
        </w:rPr>
        <w:t>off by the Supplier to enable complete and efficient sign-off.</w:t>
      </w:r>
    </w:p>
    <w:p w14:paraId="1CE3968F"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final report should be focused in terms of length (20-25 pages) and include an executive summary and actionable insights. The report will incorporate the findings of the lived experience re</w:t>
      </w:r>
      <w:r>
        <w:rPr>
          <w:rFonts w:ascii="Arial" w:eastAsia="Arial" w:hAnsi="Arial" w:cs="Arial"/>
          <w:b w:val="0"/>
          <w:color w:val="000000"/>
          <w:sz w:val="24"/>
          <w:szCs w:val="24"/>
        </w:rPr>
        <w:t>search to inform the final conclusions.</w:t>
      </w:r>
    </w:p>
    <w:p w14:paraId="6213A92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literature review, final report and related outputs, interview materials and data will remain the intellectual property of the Authority. Decisions regarding the timings and format of reports will be taken by the</w:t>
      </w:r>
      <w:r>
        <w:rPr>
          <w:rFonts w:ascii="Arial" w:eastAsia="Arial" w:hAnsi="Arial" w:cs="Arial"/>
          <w:b w:val="0"/>
          <w:color w:val="000000"/>
          <w:sz w:val="24"/>
          <w:szCs w:val="24"/>
        </w:rPr>
        <w:t xml:space="preserve"> Authority.</w:t>
      </w:r>
    </w:p>
    <w:p w14:paraId="274D9975"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is required to ensure that all data, analysis, the final report and annexes have been quality assured in line with the Aqua Book. This is essential for providing the Authority with reasonable assurance of the quality of the work.</w:t>
      </w:r>
    </w:p>
    <w:p w14:paraId="6704F83D"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w:t>
      </w:r>
      <w:r>
        <w:rPr>
          <w:rFonts w:ascii="Arial" w:eastAsia="Arial" w:hAnsi="Arial" w:cs="Arial"/>
          <w:b w:val="0"/>
          <w:color w:val="000000"/>
          <w:sz w:val="24"/>
          <w:szCs w:val="24"/>
        </w:rPr>
        <w:t xml:space="preserve">he final report (including annexes) should be accessible to a range of audiences. This should include using plain English and avoiding technical jargon where possible. </w:t>
      </w:r>
    </w:p>
    <w:p w14:paraId="44B43B17"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Provision of alternative versions including easy read, large print and BSL should also be considered. The Authority is open to the Supplier suggesting alternative ways of presenting the findings. </w:t>
      </w:r>
    </w:p>
    <w:p w14:paraId="514BAFA8"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The final reports will need to incorporate some aspects of </w:t>
      </w:r>
      <w:r>
        <w:rPr>
          <w:rFonts w:ascii="Arial" w:eastAsia="Arial" w:hAnsi="Arial" w:cs="Arial"/>
          <w:b w:val="0"/>
          <w:color w:val="000000"/>
          <w:sz w:val="24"/>
          <w:szCs w:val="24"/>
        </w:rPr>
        <w:t xml:space="preserve">the Authority’s style guides. This includes, but is not limited to: accessibility guidance and our </w:t>
      </w:r>
      <w:hyperlink r:id="rId12">
        <w:r>
          <w:rPr>
            <w:rFonts w:ascii="Arial" w:eastAsia="Arial" w:hAnsi="Arial" w:cs="Arial"/>
            <w:b w:val="0"/>
            <w:color w:val="0000FF"/>
            <w:sz w:val="24"/>
            <w:szCs w:val="24"/>
            <w:u w:val="single"/>
          </w:rPr>
          <w:t>Writing about Ethnicity guide</w:t>
        </w:r>
      </w:hyperlink>
      <w:r>
        <w:rPr>
          <w:rFonts w:ascii="Arial" w:eastAsia="Arial" w:hAnsi="Arial" w:cs="Arial"/>
          <w:b w:val="0"/>
          <w:color w:val="000000"/>
          <w:sz w:val="24"/>
          <w:szCs w:val="24"/>
        </w:rPr>
        <w:t xml:space="preserve">. </w:t>
      </w:r>
    </w:p>
    <w:p w14:paraId="5F9E92C0"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Final reports must be submitted to the Authority at least 2 weeks in advance of publication. The final publication dates will be agreed between the Authority and the Supplier in due course.</w:t>
      </w:r>
    </w:p>
    <w:p w14:paraId="6170BDF8"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is required to work c</w:t>
      </w:r>
      <w:r>
        <w:rPr>
          <w:rFonts w:ascii="Arial" w:eastAsia="Arial" w:hAnsi="Arial" w:cs="Arial"/>
          <w:b w:val="0"/>
          <w:color w:val="000000"/>
          <w:sz w:val="24"/>
          <w:szCs w:val="24"/>
        </w:rPr>
        <w:t>losely with the Authority upon publication and ensure all communications are coordinated. Any communication materials to be used by the Supplier should be submitted to the Authority for sign-off or agreement before use.</w:t>
      </w:r>
    </w:p>
    <w:p w14:paraId="3D34B45A" w14:textId="77777777" w:rsidR="00EC09F5" w:rsidRDefault="00035912">
      <w:pPr>
        <w:pStyle w:val="Heading1"/>
        <w:keepLines w:val="0"/>
        <w:numPr>
          <w:ilvl w:val="0"/>
          <w:numId w:val="6"/>
        </w:numPr>
        <w:spacing w:before="0" w:after="120" w:line="240" w:lineRule="auto"/>
        <w:jc w:val="both"/>
        <w:rPr>
          <w:rFonts w:ascii="Arial" w:eastAsia="Arial" w:hAnsi="Arial" w:cs="Arial"/>
          <w:sz w:val="32"/>
          <w:szCs w:val="32"/>
        </w:rPr>
      </w:pPr>
      <w:bookmarkStart w:id="20" w:name="_heading=h.1y810tw" w:colFirst="0" w:colLast="0"/>
      <w:bookmarkEnd w:id="20"/>
      <w:r>
        <w:rPr>
          <w:rFonts w:ascii="Arial" w:eastAsia="Arial" w:hAnsi="Arial" w:cs="Arial"/>
          <w:smallCaps/>
          <w:color w:val="000000"/>
          <w:sz w:val="32"/>
          <w:szCs w:val="32"/>
        </w:rPr>
        <w:t>Lot 2 - key milestones and Deliverab</w:t>
      </w:r>
      <w:r>
        <w:rPr>
          <w:rFonts w:ascii="Arial" w:eastAsia="Arial" w:hAnsi="Arial" w:cs="Arial"/>
          <w:smallCaps/>
          <w:color w:val="000000"/>
          <w:sz w:val="32"/>
          <w:szCs w:val="32"/>
        </w:rPr>
        <w:t>les</w:t>
      </w:r>
    </w:p>
    <w:p w14:paraId="29F7B1B2"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Authority will require the Supplier to deliver against the following timetable and milestones. It is expected that the Supplier shall be available to start work immediately on award of contract. The final report, including sign-off by the Authority</w:t>
      </w:r>
      <w:r>
        <w:rPr>
          <w:rFonts w:ascii="Arial" w:eastAsia="Arial" w:hAnsi="Arial" w:cs="Arial"/>
          <w:b w:val="0"/>
          <w:color w:val="000000"/>
          <w:sz w:val="24"/>
          <w:szCs w:val="24"/>
        </w:rPr>
        <w:t>, must be delivered by the beginning of June 2025.</w:t>
      </w:r>
    </w:p>
    <w:p w14:paraId="1E68BAB4"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Potential Suppliers should confirm in their response that these timetables are acceptable, or outline clearly any alternative timings that will be put in place to </w:t>
      </w:r>
      <w:r>
        <w:rPr>
          <w:rFonts w:ascii="Arial" w:eastAsia="Arial" w:hAnsi="Arial" w:cs="Arial"/>
          <w:b w:val="0"/>
          <w:color w:val="000000"/>
          <w:sz w:val="24"/>
          <w:szCs w:val="24"/>
        </w:rPr>
        <w:lastRenderedPageBreak/>
        <w:t xml:space="preserve">ensure that headline findings and reports </w:t>
      </w:r>
      <w:r>
        <w:rPr>
          <w:rFonts w:ascii="Arial" w:eastAsia="Arial" w:hAnsi="Arial" w:cs="Arial"/>
          <w:b w:val="0"/>
          <w:color w:val="000000"/>
          <w:sz w:val="24"/>
          <w:szCs w:val="24"/>
        </w:rPr>
        <w:t>can be delivered to the deadlines below.</w:t>
      </w:r>
    </w:p>
    <w:p w14:paraId="32CF5858"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following indicative timetable sets out the proposed key stages and deliverables</w:t>
      </w:r>
      <w:r>
        <w:rPr>
          <w:rFonts w:ascii="Arial" w:eastAsia="Arial" w:hAnsi="Arial" w:cs="Arial"/>
          <w:b w:val="0"/>
          <w:color w:val="000000"/>
          <w:sz w:val="22"/>
          <w:szCs w:val="22"/>
        </w:rPr>
        <w:t xml:space="preserve"> </w:t>
      </w:r>
      <w:r>
        <w:rPr>
          <w:rFonts w:ascii="Arial" w:eastAsia="Arial" w:hAnsi="Arial" w:cs="Arial"/>
          <w:b w:val="0"/>
          <w:color w:val="000000"/>
          <w:sz w:val="24"/>
          <w:szCs w:val="24"/>
        </w:rPr>
        <w:t>(exact timings will be agreed on award of contract):</w:t>
      </w:r>
    </w:p>
    <w:tbl>
      <w:tblPr>
        <w:tblStyle w:val="a9"/>
        <w:tblW w:w="9013" w:type="dxa"/>
        <w:tblLayout w:type="fixed"/>
        <w:tblLook w:val="0400" w:firstRow="0" w:lastRow="0" w:firstColumn="0" w:lastColumn="0" w:noHBand="0" w:noVBand="1"/>
      </w:tblPr>
      <w:tblGrid>
        <w:gridCol w:w="2396"/>
        <w:gridCol w:w="4585"/>
        <w:gridCol w:w="2032"/>
      </w:tblGrid>
      <w:tr w:rsidR="00EC09F5" w14:paraId="662FFD66" w14:textId="77777777">
        <w:trPr>
          <w:trHeight w:val="20"/>
        </w:trPr>
        <w:tc>
          <w:tcPr>
            <w:tcW w:w="2396" w:type="dxa"/>
            <w:tcBorders>
              <w:top w:val="single" w:sz="6" w:space="0" w:color="000000"/>
              <w:left w:val="single" w:sz="6" w:space="0" w:color="000000"/>
              <w:bottom w:val="single" w:sz="6" w:space="0" w:color="000000"/>
              <w:right w:val="single" w:sz="6" w:space="0" w:color="000000"/>
            </w:tcBorders>
            <w:shd w:val="clear" w:color="auto" w:fill="C6D9F1"/>
            <w:tcMar>
              <w:top w:w="100" w:type="dxa"/>
              <w:left w:w="100" w:type="dxa"/>
              <w:bottom w:w="100" w:type="dxa"/>
              <w:right w:w="100" w:type="dxa"/>
            </w:tcMar>
          </w:tcPr>
          <w:p w14:paraId="577CF059" w14:textId="77777777" w:rsidR="00EC09F5" w:rsidRDefault="00035912">
            <w:pPr>
              <w:spacing w:after="0" w:line="240" w:lineRule="auto"/>
              <w:jc w:val="both"/>
              <w:rPr>
                <w:rFonts w:ascii="Times New Roman" w:eastAsia="Times New Roman" w:hAnsi="Times New Roman"/>
                <w:sz w:val="24"/>
                <w:szCs w:val="24"/>
              </w:rPr>
            </w:pPr>
            <w:r>
              <w:rPr>
                <w:rFonts w:ascii="Arial" w:eastAsia="Arial" w:hAnsi="Arial" w:cs="Arial"/>
                <w:b/>
                <w:sz w:val="24"/>
                <w:szCs w:val="24"/>
              </w:rPr>
              <w:t>Milestone</w:t>
            </w:r>
          </w:p>
        </w:tc>
        <w:tc>
          <w:tcPr>
            <w:tcW w:w="4585" w:type="dxa"/>
            <w:tcBorders>
              <w:top w:val="single" w:sz="6" w:space="0" w:color="000000"/>
              <w:left w:val="single" w:sz="6" w:space="0" w:color="000000"/>
              <w:bottom w:val="single" w:sz="6" w:space="0" w:color="000000"/>
              <w:right w:val="single" w:sz="6" w:space="0" w:color="000000"/>
            </w:tcBorders>
            <w:shd w:val="clear" w:color="auto" w:fill="C6D9F1"/>
            <w:tcMar>
              <w:top w:w="100" w:type="dxa"/>
              <w:left w:w="100" w:type="dxa"/>
              <w:bottom w:w="100" w:type="dxa"/>
              <w:right w:w="100" w:type="dxa"/>
            </w:tcMar>
          </w:tcPr>
          <w:p w14:paraId="6F1D7200" w14:textId="77777777" w:rsidR="00EC09F5" w:rsidRDefault="00035912">
            <w:pPr>
              <w:spacing w:after="0" w:line="240" w:lineRule="auto"/>
              <w:jc w:val="both"/>
              <w:rPr>
                <w:rFonts w:ascii="Times New Roman" w:eastAsia="Times New Roman" w:hAnsi="Times New Roman"/>
                <w:sz w:val="24"/>
                <w:szCs w:val="24"/>
              </w:rPr>
            </w:pPr>
            <w:r>
              <w:rPr>
                <w:rFonts w:ascii="Arial" w:eastAsia="Arial" w:hAnsi="Arial" w:cs="Arial"/>
                <w:b/>
                <w:sz w:val="24"/>
                <w:szCs w:val="24"/>
              </w:rPr>
              <w:t>Description </w:t>
            </w:r>
          </w:p>
        </w:tc>
        <w:tc>
          <w:tcPr>
            <w:tcW w:w="2032" w:type="dxa"/>
            <w:tcBorders>
              <w:top w:val="single" w:sz="6" w:space="0" w:color="000000"/>
              <w:left w:val="single" w:sz="6" w:space="0" w:color="000000"/>
              <w:bottom w:val="single" w:sz="6" w:space="0" w:color="000000"/>
              <w:right w:val="single" w:sz="6" w:space="0" w:color="000000"/>
            </w:tcBorders>
            <w:shd w:val="clear" w:color="auto" w:fill="C6D9F1"/>
            <w:tcMar>
              <w:top w:w="100" w:type="dxa"/>
              <w:left w:w="100" w:type="dxa"/>
              <w:bottom w:w="100" w:type="dxa"/>
              <w:right w:w="100" w:type="dxa"/>
            </w:tcMar>
          </w:tcPr>
          <w:p w14:paraId="57AB6AE0" w14:textId="77777777" w:rsidR="00EC09F5" w:rsidRDefault="00035912">
            <w:pPr>
              <w:spacing w:after="0" w:line="240" w:lineRule="auto"/>
              <w:jc w:val="both"/>
              <w:rPr>
                <w:rFonts w:ascii="Times New Roman" w:eastAsia="Times New Roman" w:hAnsi="Times New Roman"/>
                <w:sz w:val="24"/>
                <w:szCs w:val="24"/>
              </w:rPr>
            </w:pPr>
            <w:r>
              <w:rPr>
                <w:rFonts w:ascii="Arial" w:eastAsia="Arial" w:hAnsi="Arial" w:cs="Arial"/>
                <w:b/>
                <w:sz w:val="24"/>
                <w:szCs w:val="24"/>
              </w:rPr>
              <w:t>Delivery Date</w:t>
            </w:r>
          </w:p>
        </w:tc>
      </w:tr>
      <w:tr w:rsidR="00EC09F5" w14:paraId="57FBD14D" w14:textId="77777777">
        <w:trPr>
          <w:trHeight w:val="20"/>
        </w:trPr>
        <w:tc>
          <w:tcPr>
            <w:tcW w:w="239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A190CB7"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Milestone 1</w:t>
            </w:r>
          </w:p>
        </w:tc>
        <w:tc>
          <w:tcPr>
            <w:tcW w:w="45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E09C072"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Award of Contract </w:t>
            </w:r>
          </w:p>
        </w:tc>
        <w:tc>
          <w:tcPr>
            <w:tcW w:w="203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7288179" w14:textId="5E06D28A"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 xml:space="preserve">No later than </w:t>
            </w:r>
            <w:r w:rsidR="00D337A1">
              <w:rPr>
                <w:rFonts w:ascii="Arial" w:eastAsia="Arial" w:hAnsi="Arial" w:cs="Arial"/>
                <w:sz w:val="24"/>
                <w:szCs w:val="24"/>
              </w:rPr>
              <w:t>19</w:t>
            </w:r>
            <w:r>
              <w:rPr>
                <w:rFonts w:ascii="Arial" w:eastAsia="Arial" w:hAnsi="Arial" w:cs="Arial"/>
                <w:sz w:val="24"/>
                <w:szCs w:val="24"/>
              </w:rPr>
              <w:t>/02/2025</w:t>
            </w:r>
          </w:p>
        </w:tc>
      </w:tr>
      <w:tr w:rsidR="00EC09F5" w14:paraId="51D92038" w14:textId="77777777">
        <w:trPr>
          <w:trHeight w:val="20"/>
        </w:trPr>
        <w:tc>
          <w:tcPr>
            <w:tcW w:w="239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29968B6"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Milestone 2</w:t>
            </w:r>
          </w:p>
        </w:tc>
        <w:tc>
          <w:tcPr>
            <w:tcW w:w="45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25303FC"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Inception report including analytical framework</w:t>
            </w:r>
          </w:p>
        </w:tc>
        <w:tc>
          <w:tcPr>
            <w:tcW w:w="203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5CC8362"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No later than 28/02/2025</w:t>
            </w:r>
          </w:p>
        </w:tc>
      </w:tr>
      <w:tr w:rsidR="00EC09F5" w14:paraId="0DE6EA19" w14:textId="77777777">
        <w:trPr>
          <w:trHeight w:val="20"/>
        </w:trPr>
        <w:tc>
          <w:tcPr>
            <w:tcW w:w="239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1B5D81E"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Milestone 3</w:t>
            </w:r>
          </w:p>
        </w:tc>
        <w:tc>
          <w:tcPr>
            <w:tcW w:w="45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830AD3A"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Join advisory group</w:t>
            </w:r>
          </w:p>
        </w:tc>
        <w:tc>
          <w:tcPr>
            <w:tcW w:w="203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E7231A2"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No later than 28/02/2025</w:t>
            </w:r>
          </w:p>
        </w:tc>
      </w:tr>
      <w:tr w:rsidR="00EC09F5" w14:paraId="4BF9115C" w14:textId="77777777">
        <w:trPr>
          <w:trHeight w:val="20"/>
        </w:trPr>
        <w:tc>
          <w:tcPr>
            <w:tcW w:w="239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EAF772E"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Milestone 4</w:t>
            </w:r>
          </w:p>
        </w:tc>
        <w:tc>
          <w:tcPr>
            <w:tcW w:w="45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C7BFF18"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Interim findings presented</w:t>
            </w:r>
          </w:p>
        </w:tc>
        <w:tc>
          <w:tcPr>
            <w:tcW w:w="203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BF61E67"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No later than 18/04/2025</w:t>
            </w:r>
          </w:p>
        </w:tc>
      </w:tr>
      <w:tr w:rsidR="00EC09F5" w14:paraId="4D57C55A" w14:textId="77777777">
        <w:trPr>
          <w:trHeight w:val="20"/>
        </w:trPr>
        <w:tc>
          <w:tcPr>
            <w:tcW w:w="239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D1BDC40"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Milestone 5</w:t>
            </w:r>
          </w:p>
        </w:tc>
        <w:tc>
          <w:tcPr>
            <w:tcW w:w="45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0DD5752"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Summary of amalgamated findings with lived experience research</w:t>
            </w:r>
          </w:p>
        </w:tc>
        <w:tc>
          <w:tcPr>
            <w:tcW w:w="203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66BB6FC"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No later than 30/05/2025</w:t>
            </w:r>
          </w:p>
        </w:tc>
      </w:tr>
      <w:tr w:rsidR="00EC09F5" w14:paraId="68C90399" w14:textId="77777777">
        <w:trPr>
          <w:trHeight w:val="20"/>
        </w:trPr>
        <w:tc>
          <w:tcPr>
            <w:tcW w:w="239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B3AE570"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Milestone 6</w:t>
            </w:r>
          </w:p>
        </w:tc>
        <w:tc>
          <w:tcPr>
            <w:tcW w:w="45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D80C810"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Final report (signed off by Authority)</w:t>
            </w:r>
          </w:p>
        </w:tc>
        <w:tc>
          <w:tcPr>
            <w:tcW w:w="203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087E781"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No later than 30/06/2025</w:t>
            </w:r>
          </w:p>
        </w:tc>
      </w:tr>
      <w:tr w:rsidR="00EC09F5" w14:paraId="63019FCC" w14:textId="77777777">
        <w:trPr>
          <w:trHeight w:val="20"/>
        </w:trPr>
        <w:tc>
          <w:tcPr>
            <w:tcW w:w="239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29BE638"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Milestone 7 (for information only)</w:t>
            </w:r>
          </w:p>
        </w:tc>
        <w:tc>
          <w:tcPr>
            <w:tcW w:w="45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1DB9975"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Publication </w:t>
            </w:r>
          </w:p>
        </w:tc>
        <w:tc>
          <w:tcPr>
            <w:tcW w:w="203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09AF04D" w14:textId="77777777" w:rsidR="00EC09F5" w:rsidRDefault="00035912">
            <w:pPr>
              <w:spacing w:after="0" w:line="240" w:lineRule="auto"/>
              <w:rPr>
                <w:rFonts w:ascii="Times New Roman" w:eastAsia="Times New Roman" w:hAnsi="Times New Roman"/>
                <w:sz w:val="24"/>
                <w:szCs w:val="24"/>
              </w:rPr>
            </w:pPr>
            <w:r>
              <w:rPr>
                <w:rFonts w:ascii="Arial" w:eastAsia="Arial" w:hAnsi="Arial" w:cs="Arial"/>
                <w:sz w:val="24"/>
                <w:szCs w:val="24"/>
              </w:rPr>
              <w:t>No later than 30/06/2025</w:t>
            </w:r>
          </w:p>
        </w:tc>
      </w:tr>
    </w:tbl>
    <w:p w14:paraId="505C4F8B" w14:textId="77777777" w:rsidR="00EC09F5" w:rsidRDefault="00035912">
      <w:pPr>
        <w:spacing w:after="0" w:line="240" w:lineRule="auto"/>
        <w:rPr>
          <w:rFonts w:ascii="Arial" w:eastAsia="Arial" w:hAnsi="Arial" w:cs="Arial"/>
          <w:b/>
          <w:smallCaps/>
          <w:sz w:val="32"/>
          <w:szCs w:val="32"/>
        </w:rPr>
      </w:pPr>
      <w:bookmarkStart w:id="21" w:name="_heading=h.4i7ojhp" w:colFirst="0" w:colLast="0"/>
      <w:bookmarkEnd w:id="21"/>
      <w:r>
        <w:br w:type="page"/>
      </w:r>
    </w:p>
    <w:p w14:paraId="006459B2" w14:textId="77777777" w:rsidR="00EC09F5" w:rsidRDefault="00035912">
      <w:pPr>
        <w:pStyle w:val="Heading1"/>
        <w:keepLines w:val="0"/>
        <w:numPr>
          <w:ilvl w:val="0"/>
          <w:numId w:val="6"/>
        </w:numPr>
        <w:spacing w:before="0" w:after="120" w:line="240" w:lineRule="auto"/>
        <w:ind w:left="709"/>
        <w:jc w:val="both"/>
        <w:rPr>
          <w:rFonts w:ascii="Arial" w:eastAsia="Arial" w:hAnsi="Arial" w:cs="Arial"/>
          <w:sz w:val="32"/>
          <w:szCs w:val="32"/>
        </w:rPr>
      </w:pPr>
      <w:bookmarkStart w:id="22" w:name="_heading=h.2xcytpi" w:colFirst="0" w:colLast="0"/>
      <w:bookmarkEnd w:id="22"/>
      <w:r>
        <w:rPr>
          <w:rFonts w:ascii="Arial" w:eastAsia="Arial" w:hAnsi="Arial" w:cs="Arial"/>
          <w:smallCaps/>
          <w:color w:val="000000"/>
          <w:sz w:val="32"/>
          <w:szCs w:val="32"/>
        </w:rPr>
        <w:lastRenderedPageBreak/>
        <w:t>MANAGEMENT INFORMATION/reporting</w:t>
      </w:r>
    </w:p>
    <w:p w14:paraId="24D1BF1B"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The Supplier must have one lead project manager responsible for all components of the research.  The Project Manager for the Contracting Authority </w:t>
      </w:r>
      <w:r>
        <w:rPr>
          <w:rFonts w:ascii="Arial" w:eastAsia="Arial" w:hAnsi="Arial" w:cs="Arial"/>
          <w:b w:val="0"/>
          <w:color w:val="000000"/>
          <w:sz w:val="24"/>
          <w:szCs w:val="24"/>
        </w:rPr>
        <w:t>will be James Probert, Head of Intersectional Analysis.</w:t>
      </w:r>
    </w:p>
    <w:p w14:paraId="1D9D468E"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Contracting Authority’s research project manager and/or team will provide advice and guidance on any issues during the course of the project.  Where comments or input are required from the Contrac</w:t>
      </w:r>
      <w:r>
        <w:rPr>
          <w:rFonts w:ascii="Arial" w:eastAsia="Arial" w:hAnsi="Arial" w:cs="Arial"/>
          <w:b w:val="0"/>
          <w:color w:val="000000"/>
          <w:sz w:val="24"/>
          <w:szCs w:val="24"/>
        </w:rPr>
        <w:t>ting Authority, the Supplier should allow sufficient time for turnaround and give advance notice where possible.  As a general guide the Contracting Authority will aim to turnaround minor requests within one week and major requests (e.g. commenting on draf</w:t>
      </w:r>
      <w:r>
        <w:rPr>
          <w:rFonts w:ascii="Arial" w:eastAsia="Arial" w:hAnsi="Arial" w:cs="Arial"/>
          <w:b w:val="0"/>
          <w:color w:val="000000"/>
          <w:sz w:val="24"/>
          <w:szCs w:val="24"/>
        </w:rPr>
        <w:t>ts of reports, or checking data outputs) within two weeks.  Key documents and decisions will require feedback from wider stakeholders.  The Supplier should factor these clearance periods into project timings and indicate clearly in any project timetable wh</w:t>
      </w:r>
      <w:r>
        <w:rPr>
          <w:rFonts w:ascii="Arial" w:eastAsia="Arial" w:hAnsi="Arial" w:cs="Arial"/>
          <w:b w:val="0"/>
          <w:color w:val="000000"/>
          <w:sz w:val="24"/>
          <w:szCs w:val="24"/>
        </w:rPr>
        <w:t>en such outputs will be submitted for clearance.</w:t>
      </w:r>
    </w:p>
    <w:p w14:paraId="35A86BFC"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It is expected that project leads for the Contracting Authority and Supplier, plus additional team members as required, will hold weekly teleconferences and meet at key points (to be agreed between the Contr</w:t>
      </w:r>
      <w:r>
        <w:rPr>
          <w:rFonts w:ascii="Arial" w:eastAsia="Arial" w:hAnsi="Arial" w:cs="Arial"/>
          <w:b w:val="0"/>
          <w:color w:val="000000"/>
          <w:sz w:val="24"/>
          <w:szCs w:val="24"/>
        </w:rPr>
        <w:t>acting Authority and Supplier) in person to discuss the progress of the research.  Expenses for such meetings must be included in the core contract price.</w:t>
      </w:r>
    </w:p>
    <w:p w14:paraId="19437771"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As part of the management of the research the Supplier will be required to produce and submit the fol</w:t>
      </w:r>
      <w:r>
        <w:rPr>
          <w:rFonts w:ascii="Arial" w:eastAsia="Arial" w:hAnsi="Arial" w:cs="Arial"/>
          <w:b w:val="0"/>
          <w:color w:val="000000"/>
          <w:sz w:val="24"/>
          <w:szCs w:val="24"/>
        </w:rPr>
        <w:t>lowing management information to the Contracting Authority:</w:t>
      </w:r>
    </w:p>
    <w:p w14:paraId="4C49FC2C" w14:textId="77777777" w:rsidR="00EC09F5" w:rsidRDefault="00035912">
      <w:pPr>
        <w:pStyle w:val="Heading3"/>
        <w:keepNext w:val="0"/>
        <w:keepLines w:val="0"/>
        <w:numPr>
          <w:ilvl w:val="2"/>
          <w:numId w:val="19"/>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Brief weekly progress updates – to update on progress towards milestones and management of risks arising.  The format of these reports should be agreed with the Contracting Authority and submitted in advance of the teleconference.</w:t>
      </w:r>
    </w:p>
    <w:p w14:paraId="4D5C00D2" w14:textId="77777777" w:rsidR="00EC09F5" w:rsidRDefault="00035912">
      <w:pPr>
        <w:pStyle w:val="Heading3"/>
        <w:keepNext w:val="0"/>
        <w:keepLines w:val="0"/>
        <w:numPr>
          <w:ilvl w:val="2"/>
          <w:numId w:val="19"/>
        </w:numPr>
        <w:spacing w:before="0" w:after="240" w:line="240" w:lineRule="auto"/>
        <w:ind w:hanging="381"/>
        <w:jc w:val="both"/>
        <w:rPr>
          <w:rFonts w:ascii="Noto Sans Symbols" w:eastAsia="Noto Sans Symbols" w:hAnsi="Noto Sans Symbols" w:cs="Noto Sans Symbols"/>
          <w:sz w:val="24"/>
          <w:szCs w:val="24"/>
        </w:rPr>
      </w:pPr>
      <w:r>
        <w:rPr>
          <w:rFonts w:ascii="Arial" w:eastAsia="Arial" w:hAnsi="Arial" w:cs="Arial"/>
          <w:b w:val="0"/>
          <w:sz w:val="24"/>
          <w:szCs w:val="24"/>
        </w:rPr>
        <w:t>Monthly contract review u</w:t>
      </w:r>
      <w:r>
        <w:rPr>
          <w:rFonts w:ascii="Arial" w:eastAsia="Arial" w:hAnsi="Arial" w:cs="Arial"/>
          <w:b w:val="0"/>
          <w:sz w:val="24"/>
          <w:szCs w:val="24"/>
        </w:rPr>
        <w:t>pdates - to review adherence to objectives and milestones, and consider any course correction required.</w:t>
      </w:r>
    </w:p>
    <w:p w14:paraId="5D985426" w14:textId="77777777" w:rsidR="00EC09F5" w:rsidRDefault="00035912">
      <w:pPr>
        <w:pStyle w:val="Heading1"/>
        <w:keepLines w:val="0"/>
        <w:numPr>
          <w:ilvl w:val="0"/>
          <w:numId w:val="6"/>
        </w:numPr>
        <w:spacing w:before="0" w:after="120" w:line="240" w:lineRule="auto"/>
        <w:ind w:left="709"/>
        <w:jc w:val="both"/>
        <w:rPr>
          <w:rFonts w:ascii="Arial" w:eastAsia="Arial" w:hAnsi="Arial" w:cs="Arial"/>
          <w:sz w:val="32"/>
          <w:szCs w:val="32"/>
        </w:rPr>
      </w:pPr>
      <w:bookmarkStart w:id="23" w:name="_heading=h.1ci93xb" w:colFirst="0" w:colLast="0"/>
      <w:bookmarkEnd w:id="23"/>
      <w:r>
        <w:rPr>
          <w:rFonts w:ascii="Arial" w:eastAsia="Arial" w:hAnsi="Arial" w:cs="Arial"/>
          <w:smallCaps/>
          <w:color w:val="000000"/>
          <w:sz w:val="32"/>
          <w:szCs w:val="32"/>
        </w:rPr>
        <w:t>volumes</w:t>
      </w:r>
    </w:p>
    <w:p w14:paraId="37E12A2B"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Not applicable</w:t>
      </w:r>
    </w:p>
    <w:p w14:paraId="541B90D5" w14:textId="77777777" w:rsidR="00EC09F5" w:rsidRDefault="00035912">
      <w:pPr>
        <w:pStyle w:val="Heading1"/>
        <w:keepLines w:val="0"/>
        <w:numPr>
          <w:ilvl w:val="0"/>
          <w:numId w:val="6"/>
        </w:numPr>
        <w:spacing w:before="0" w:after="120" w:line="240" w:lineRule="auto"/>
        <w:ind w:left="709"/>
        <w:jc w:val="both"/>
        <w:rPr>
          <w:rFonts w:ascii="Arial" w:eastAsia="Arial" w:hAnsi="Arial" w:cs="Arial"/>
          <w:sz w:val="32"/>
          <w:szCs w:val="32"/>
        </w:rPr>
      </w:pPr>
      <w:bookmarkStart w:id="24" w:name="_heading=h.3whwml4" w:colFirst="0" w:colLast="0"/>
      <w:bookmarkEnd w:id="24"/>
      <w:r>
        <w:rPr>
          <w:rFonts w:ascii="Arial" w:eastAsia="Arial" w:hAnsi="Arial" w:cs="Arial"/>
          <w:smallCaps/>
          <w:color w:val="000000"/>
          <w:sz w:val="32"/>
          <w:szCs w:val="32"/>
        </w:rPr>
        <w:t>continuous improvement</w:t>
      </w:r>
    </w:p>
    <w:p w14:paraId="409013B8" w14:textId="77777777" w:rsidR="00EC09F5" w:rsidRDefault="00035912">
      <w:pPr>
        <w:pStyle w:val="Heading2"/>
        <w:keepNext w:val="0"/>
        <w:keepLines w:val="0"/>
        <w:numPr>
          <w:ilvl w:val="1"/>
          <w:numId w:val="6"/>
        </w:numPr>
        <w:spacing w:before="0" w:after="120" w:line="240" w:lineRule="auto"/>
        <w:ind w:left="709"/>
        <w:jc w:val="both"/>
        <w:rPr>
          <w:rFonts w:ascii="Arial" w:eastAsia="Arial" w:hAnsi="Arial" w:cs="Arial"/>
          <w:sz w:val="24"/>
          <w:szCs w:val="24"/>
        </w:rPr>
      </w:pPr>
      <w:r>
        <w:rPr>
          <w:rFonts w:ascii="Arial" w:eastAsia="Arial" w:hAnsi="Arial" w:cs="Arial"/>
          <w:b w:val="0"/>
          <w:color w:val="000000"/>
          <w:sz w:val="24"/>
          <w:szCs w:val="24"/>
        </w:rPr>
        <w:t>The Supplier will be expected to review and suggest improvements to way in which the required Services are to be delivered throughout the Contract duration.</w:t>
      </w:r>
    </w:p>
    <w:p w14:paraId="72515999" w14:textId="77777777" w:rsidR="00EC09F5" w:rsidRDefault="00035912">
      <w:pPr>
        <w:pStyle w:val="Heading2"/>
        <w:keepNext w:val="0"/>
        <w:keepLines w:val="0"/>
        <w:numPr>
          <w:ilvl w:val="1"/>
          <w:numId w:val="6"/>
        </w:numPr>
        <w:spacing w:before="0" w:after="120" w:line="240" w:lineRule="auto"/>
        <w:ind w:left="709"/>
        <w:jc w:val="both"/>
        <w:rPr>
          <w:rFonts w:ascii="Arial" w:eastAsia="Arial" w:hAnsi="Arial" w:cs="Arial"/>
          <w:sz w:val="24"/>
          <w:szCs w:val="24"/>
        </w:rPr>
      </w:pPr>
      <w:r>
        <w:rPr>
          <w:rFonts w:ascii="Arial" w:eastAsia="Arial" w:hAnsi="Arial" w:cs="Arial"/>
          <w:b w:val="0"/>
          <w:color w:val="000000"/>
          <w:sz w:val="24"/>
          <w:szCs w:val="24"/>
        </w:rPr>
        <w:t>The Supplier should present new ways of working to the Authority during weekly Contract review meet</w:t>
      </w:r>
      <w:r>
        <w:rPr>
          <w:rFonts w:ascii="Arial" w:eastAsia="Arial" w:hAnsi="Arial" w:cs="Arial"/>
          <w:b w:val="0"/>
          <w:color w:val="000000"/>
          <w:sz w:val="24"/>
          <w:szCs w:val="24"/>
        </w:rPr>
        <w:t xml:space="preserve">ings. </w:t>
      </w:r>
    </w:p>
    <w:p w14:paraId="35E74808" w14:textId="77777777" w:rsidR="00EC09F5" w:rsidRDefault="00035912">
      <w:pPr>
        <w:pStyle w:val="Heading2"/>
        <w:keepNext w:val="0"/>
        <w:keepLines w:val="0"/>
        <w:numPr>
          <w:ilvl w:val="1"/>
          <w:numId w:val="6"/>
        </w:numPr>
        <w:spacing w:before="0" w:after="120" w:line="240" w:lineRule="auto"/>
        <w:ind w:left="709"/>
        <w:jc w:val="both"/>
        <w:rPr>
          <w:rFonts w:ascii="Arial" w:eastAsia="Arial" w:hAnsi="Arial" w:cs="Arial"/>
          <w:sz w:val="24"/>
          <w:szCs w:val="24"/>
        </w:rPr>
      </w:pPr>
      <w:r>
        <w:rPr>
          <w:rFonts w:ascii="Arial" w:eastAsia="Arial" w:hAnsi="Arial" w:cs="Arial"/>
          <w:b w:val="0"/>
          <w:color w:val="000000"/>
          <w:sz w:val="24"/>
          <w:szCs w:val="24"/>
        </w:rPr>
        <w:t>Changes to the way in which the Services are to be delivered must be brought to the Authority’s attention and agreed prior to any changes being implemented.</w:t>
      </w:r>
    </w:p>
    <w:p w14:paraId="04C321B8" w14:textId="77777777" w:rsidR="00EC09F5" w:rsidRDefault="00035912">
      <w:pPr>
        <w:pStyle w:val="Heading1"/>
        <w:keepLines w:val="0"/>
        <w:numPr>
          <w:ilvl w:val="0"/>
          <w:numId w:val="6"/>
        </w:numPr>
        <w:spacing w:before="0" w:after="240" w:line="240" w:lineRule="auto"/>
        <w:jc w:val="both"/>
        <w:rPr>
          <w:rFonts w:ascii="Arial" w:eastAsia="Arial" w:hAnsi="Arial" w:cs="Arial"/>
          <w:sz w:val="32"/>
          <w:szCs w:val="32"/>
        </w:rPr>
      </w:pPr>
      <w:bookmarkStart w:id="25" w:name="_heading=h.2bn6wsx" w:colFirst="0" w:colLast="0"/>
      <w:bookmarkEnd w:id="25"/>
      <w:r>
        <w:rPr>
          <w:rFonts w:ascii="Arial" w:eastAsia="Arial" w:hAnsi="Arial" w:cs="Arial"/>
          <w:smallCaps/>
          <w:color w:val="000000"/>
          <w:sz w:val="32"/>
          <w:szCs w:val="32"/>
        </w:rPr>
        <w:lastRenderedPageBreak/>
        <w:t>Sustainability</w:t>
      </w:r>
    </w:p>
    <w:p w14:paraId="4CF135E8"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All meetings to be held virtually, unless specifically requested by the Contr</w:t>
      </w:r>
      <w:r>
        <w:rPr>
          <w:rFonts w:ascii="Arial" w:eastAsia="Arial" w:hAnsi="Arial" w:cs="Arial"/>
          <w:b w:val="0"/>
          <w:color w:val="000000"/>
          <w:sz w:val="24"/>
          <w:szCs w:val="24"/>
        </w:rPr>
        <w:t>acting Authority.</w:t>
      </w:r>
    </w:p>
    <w:p w14:paraId="5CADE99C"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should meet the social value commitment by ensuring that effective measures to deliver any of the following benefits through the contract are made:</w:t>
      </w:r>
    </w:p>
    <w:p w14:paraId="16E7E7D5"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r>
        <w:rPr>
          <w:rFonts w:ascii="Arial" w:eastAsia="Arial" w:hAnsi="Arial" w:cs="Arial"/>
          <w:b w:val="0"/>
          <w:sz w:val="24"/>
          <w:szCs w:val="24"/>
        </w:rPr>
        <w:t>Demonstrate action to increase the representation of disabled people in the c</w:t>
      </w:r>
      <w:r>
        <w:rPr>
          <w:rFonts w:ascii="Arial" w:eastAsia="Arial" w:hAnsi="Arial" w:cs="Arial"/>
          <w:b w:val="0"/>
          <w:sz w:val="24"/>
          <w:szCs w:val="24"/>
        </w:rPr>
        <w:t>ontract workforce.</w:t>
      </w:r>
    </w:p>
    <w:p w14:paraId="59B587E8"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r>
        <w:rPr>
          <w:rFonts w:ascii="Arial" w:eastAsia="Arial" w:hAnsi="Arial" w:cs="Arial"/>
          <w:b w:val="0"/>
          <w:sz w:val="24"/>
          <w:szCs w:val="24"/>
        </w:rPr>
        <w:t>Support disabled people in developing new skills relevant to the contract, including through training schemes that result in recognised qualifications.</w:t>
      </w:r>
    </w:p>
    <w:p w14:paraId="242BAB98"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r>
        <w:rPr>
          <w:rFonts w:ascii="Arial" w:eastAsia="Arial" w:hAnsi="Arial" w:cs="Arial"/>
          <w:b w:val="0"/>
          <w:sz w:val="24"/>
          <w:szCs w:val="24"/>
        </w:rPr>
        <w:t>Demonstrate action to identify and tackle inequality in employment, skills and pay in</w:t>
      </w:r>
      <w:r>
        <w:rPr>
          <w:rFonts w:ascii="Arial" w:eastAsia="Arial" w:hAnsi="Arial" w:cs="Arial"/>
          <w:b w:val="0"/>
          <w:sz w:val="24"/>
          <w:szCs w:val="24"/>
        </w:rPr>
        <w:t xml:space="preserve"> the contract workforce.</w:t>
      </w:r>
    </w:p>
    <w:p w14:paraId="3A62B7AB"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r>
        <w:rPr>
          <w:rFonts w:ascii="Arial" w:eastAsia="Arial" w:hAnsi="Arial" w:cs="Arial"/>
          <w:b w:val="0"/>
          <w:sz w:val="24"/>
          <w:szCs w:val="24"/>
        </w:rPr>
        <w:t>Support in-work progression to help people, including those from disadvantaged or minority groups, to move into higher paid work by developing new skills relevant to the contract.</w:t>
      </w:r>
    </w:p>
    <w:p w14:paraId="782CDF9A" w14:textId="77777777" w:rsidR="00EC09F5" w:rsidRDefault="00035912">
      <w:pPr>
        <w:pStyle w:val="Heading1"/>
        <w:keepLines w:val="0"/>
        <w:numPr>
          <w:ilvl w:val="0"/>
          <w:numId w:val="6"/>
        </w:numPr>
        <w:spacing w:before="0" w:after="120" w:line="240" w:lineRule="auto"/>
        <w:ind w:left="709"/>
        <w:jc w:val="both"/>
        <w:rPr>
          <w:rFonts w:ascii="Arial" w:eastAsia="Arial" w:hAnsi="Arial" w:cs="Arial"/>
          <w:sz w:val="32"/>
          <w:szCs w:val="32"/>
        </w:rPr>
      </w:pPr>
      <w:bookmarkStart w:id="26" w:name="_heading=h.qsh70q" w:colFirst="0" w:colLast="0"/>
      <w:bookmarkEnd w:id="26"/>
      <w:r>
        <w:rPr>
          <w:rFonts w:ascii="Arial" w:eastAsia="Arial" w:hAnsi="Arial" w:cs="Arial"/>
          <w:smallCaps/>
          <w:color w:val="000000"/>
          <w:sz w:val="32"/>
          <w:szCs w:val="32"/>
        </w:rPr>
        <w:t>quality</w:t>
      </w:r>
    </w:p>
    <w:p w14:paraId="6C8B17E5" w14:textId="77777777" w:rsidR="00EC09F5" w:rsidRDefault="00035912">
      <w:pPr>
        <w:pStyle w:val="Heading2"/>
        <w:keepNext w:val="0"/>
        <w:keepLines w:val="0"/>
        <w:numPr>
          <w:ilvl w:val="1"/>
          <w:numId w:val="6"/>
        </w:numPr>
        <w:spacing w:before="0" w:after="120" w:line="240" w:lineRule="auto"/>
        <w:ind w:left="709"/>
        <w:jc w:val="both"/>
        <w:rPr>
          <w:rFonts w:ascii="Arial" w:eastAsia="Arial" w:hAnsi="Arial" w:cs="Arial"/>
          <w:sz w:val="24"/>
          <w:szCs w:val="24"/>
        </w:rPr>
      </w:pPr>
      <w:r>
        <w:rPr>
          <w:rFonts w:ascii="Arial" w:eastAsia="Arial" w:hAnsi="Arial" w:cs="Arial"/>
          <w:b w:val="0"/>
          <w:color w:val="000000"/>
          <w:sz w:val="24"/>
          <w:szCs w:val="24"/>
        </w:rPr>
        <w:t xml:space="preserve">The Contracting Authority will measure the </w:t>
      </w:r>
      <w:r>
        <w:rPr>
          <w:rFonts w:ascii="Arial" w:eastAsia="Arial" w:hAnsi="Arial" w:cs="Arial"/>
          <w:b w:val="0"/>
          <w:color w:val="000000"/>
          <w:sz w:val="24"/>
          <w:szCs w:val="24"/>
        </w:rPr>
        <w:t>quality of the Supplier’s delivery by:</w:t>
      </w:r>
    </w:p>
    <w:p w14:paraId="2F209D42"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r>
        <w:rPr>
          <w:rFonts w:ascii="Arial" w:eastAsia="Arial" w:hAnsi="Arial" w:cs="Arial"/>
          <w:sz w:val="24"/>
          <w:szCs w:val="24"/>
        </w:rPr>
        <w:t>Supplier experience and capability</w:t>
      </w:r>
      <w:r>
        <w:rPr>
          <w:rFonts w:ascii="Arial" w:eastAsia="Arial" w:hAnsi="Arial" w:cs="Arial"/>
          <w:b w:val="0"/>
          <w:sz w:val="24"/>
          <w:szCs w:val="24"/>
        </w:rPr>
        <w:t>: the supplier will demonstrate excellent project management of delivering projects of similar size and scope, with awareness of risk and proposals for mitigation. Suppliers will also</w:t>
      </w:r>
      <w:r>
        <w:rPr>
          <w:rFonts w:ascii="Arial" w:eastAsia="Arial" w:hAnsi="Arial" w:cs="Arial"/>
          <w:b w:val="0"/>
          <w:sz w:val="24"/>
          <w:szCs w:val="24"/>
        </w:rPr>
        <w:t xml:space="preserve"> demonstrate experience of delivering research on sensitive topics with diverse field staff and using culturally sensitive practices.</w:t>
      </w:r>
    </w:p>
    <w:p w14:paraId="113DCA91"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r>
        <w:rPr>
          <w:rFonts w:ascii="Arial" w:eastAsia="Arial" w:hAnsi="Arial" w:cs="Arial"/>
          <w:sz w:val="24"/>
          <w:szCs w:val="24"/>
        </w:rPr>
        <w:t>Research design</w:t>
      </w:r>
      <w:r>
        <w:rPr>
          <w:rFonts w:ascii="Arial" w:eastAsia="Arial" w:hAnsi="Arial" w:cs="Arial"/>
          <w:b w:val="0"/>
          <w:sz w:val="24"/>
          <w:szCs w:val="24"/>
        </w:rPr>
        <w:t>: the supplier will demonstrate an excellent approach to methodological rigour in qualitative research, ens</w:t>
      </w:r>
      <w:r>
        <w:rPr>
          <w:rFonts w:ascii="Arial" w:eastAsia="Arial" w:hAnsi="Arial" w:cs="Arial"/>
          <w:b w:val="0"/>
          <w:sz w:val="24"/>
          <w:szCs w:val="24"/>
        </w:rPr>
        <w:t>uring appropriate representation in the sample, quality assurance processes and clear publication plans.</w:t>
      </w:r>
    </w:p>
    <w:p w14:paraId="0A90CB23" w14:textId="77777777" w:rsidR="00EC09F5" w:rsidRDefault="00035912">
      <w:pPr>
        <w:pStyle w:val="Heading3"/>
        <w:keepNext w:val="0"/>
        <w:keepLines w:val="0"/>
        <w:numPr>
          <w:ilvl w:val="2"/>
          <w:numId w:val="6"/>
        </w:numPr>
        <w:spacing w:before="0" w:after="240" w:line="240" w:lineRule="auto"/>
        <w:jc w:val="both"/>
        <w:rPr>
          <w:rFonts w:ascii="Arial" w:eastAsia="Arial" w:hAnsi="Arial" w:cs="Arial"/>
          <w:sz w:val="24"/>
          <w:szCs w:val="24"/>
        </w:rPr>
      </w:pPr>
      <w:r>
        <w:rPr>
          <w:rFonts w:ascii="Arial" w:eastAsia="Arial" w:hAnsi="Arial" w:cs="Arial"/>
          <w:sz w:val="24"/>
          <w:szCs w:val="24"/>
        </w:rPr>
        <w:t>Project management, data security and ethics</w:t>
      </w:r>
      <w:r>
        <w:rPr>
          <w:rFonts w:ascii="Arial" w:eastAsia="Arial" w:hAnsi="Arial" w:cs="Arial"/>
          <w:b w:val="0"/>
          <w:sz w:val="24"/>
          <w:szCs w:val="24"/>
        </w:rPr>
        <w:t>: the supplier will be able to meet key milestones and have excellent awareness of ethical issues and means</w:t>
      </w:r>
      <w:r>
        <w:rPr>
          <w:rFonts w:ascii="Arial" w:eastAsia="Arial" w:hAnsi="Arial" w:cs="Arial"/>
          <w:b w:val="0"/>
          <w:sz w:val="24"/>
          <w:szCs w:val="24"/>
        </w:rPr>
        <w:t xml:space="preserve"> of mitigation. They will also comply with all data security requirements.</w:t>
      </w:r>
    </w:p>
    <w:p w14:paraId="6FCDA281"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final report should be focused in terms of length (20-25 pages) and include an executive summary and actionable insights. The report will incorporate the findings of the lived e</w:t>
      </w:r>
      <w:r>
        <w:rPr>
          <w:rFonts w:ascii="Arial" w:eastAsia="Arial" w:hAnsi="Arial" w:cs="Arial"/>
          <w:b w:val="0"/>
          <w:color w:val="000000"/>
          <w:sz w:val="24"/>
          <w:szCs w:val="24"/>
        </w:rPr>
        <w:t>xperience research to inform the final conclusions.</w:t>
      </w:r>
    </w:p>
    <w:p w14:paraId="3EE00FD2"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lastRenderedPageBreak/>
        <w:t>The Supplier is required to ensure that all data, analysis, the final report and annexes have been quality assured in line with the Aqua Book. This is essential for providing the Authority with reasonable assurance of the quality of the work.</w:t>
      </w:r>
    </w:p>
    <w:p w14:paraId="34CBC6ED"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final rep</w:t>
      </w:r>
      <w:r>
        <w:rPr>
          <w:rFonts w:ascii="Arial" w:eastAsia="Arial" w:hAnsi="Arial" w:cs="Arial"/>
          <w:b w:val="0"/>
          <w:color w:val="000000"/>
          <w:sz w:val="24"/>
          <w:szCs w:val="24"/>
        </w:rPr>
        <w:t xml:space="preserve">ort (including annexes) should be accessible to a range of audiences. This should include using plain English and avoiding technical jargon where possible. </w:t>
      </w:r>
    </w:p>
    <w:p w14:paraId="089B518F"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Provision of alternative versions including easy read, large print and BSL should also be considere</w:t>
      </w:r>
      <w:r>
        <w:rPr>
          <w:rFonts w:ascii="Arial" w:eastAsia="Arial" w:hAnsi="Arial" w:cs="Arial"/>
          <w:b w:val="0"/>
          <w:color w:val="000000"/>
          <w:sz w:val="24"/>
          <w:szCs w:val="24"/>
        </w:rPr>
        <w:t xml:space="preserve">d. The Authority is open to the Supplier suggesting alternative ways of presenting the findings. </w:t>
      </w:r>
    </w:p>
    <w:p w14:paraId="49949E29"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The final reports will need to incorporate some aspects of the Authority’s style guides. This includes, but is not limited to: accessibility guidance and our </w:t>
      </w:r>
      <w:hyperlink r:id="rId13">
        <w:r>
          <w:rPr>
            <w:rFonts w:ascii="Arial" w:eastAsia="Arial" w:hAnsi="Arial" w:cs="Arial"/>
            <w:b w:val="0"/>
            <w:color w:val="0000FF"/>
            <w:sz w:val="24"/>
            <w:szCs w:val="24"/>
            <w:u w:val="single"/>
          </w:rPr>
          <w:t>Writing about Ethnicity guide</w:t>
        </w:r>
      </w:hyperlink>
      <w:r>
        <w:rPr>
          <w:rFonts w:ascii="Arial" w:eastAsia="Arial" w:hAnsi="Arial" w:cs="Arial"/>
          <w:b w:val="0"/>
          <w:color w:val="000000"/>
          <w:sz w:val="24"/>
          <w:szCs w:val="24"/>
        </w:rPr>
        <w:t xml:space="preserve">. </w:t>
      </w:r>
    </w:p>
    <w:p w14:paraId="6584621C"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is required to work closely with the Authority upon publication and ensure all communications are coordinated. Any communication materials to be used by the Supplier should be submitted to the Authority for sign-off or agreement before use.</w:t>
      </w:r>
    </w:p>
    <w:p w14:paraId="22B4B67F" w14:textId="77777777" w:rsidR="00EC09F5" w:rsidRDefault="00035912">
      <w:pPr>
        <w:pStyle w:val="Heading1"/>
        <w:keepLines w:val="0"/>
        <w:numPr>
          <w:ilvl w:val="0"/>
          <w:numId w:val="6"/>
        </w:numPr>
        <w:spacing w:before="0" w:after="120" w:line="240" w:lineRule="auto"/>
        <w:ind w:left="709"/>
        <w:jc w:val="both"/>
        <w:rPr>
          <w:rFonts w:ascii="Arial" w:eastAsia="Arial" w:hAnsi="Arial" w:cs="Arial"/>
          <w:sz w:val="32"/>
          <w:szCs w:val="32"/>
        </w:rPr>
      </w:pPr>
      <w:bookmarkStart w:id="27" w:name="_heading=h.3as4poj" w:colFirst="0" w:colLast="0"/>
      <w:bookmarkEnd w:id="27"/>
      <w:r>
        <w:rPr>
          <w:rFonts w:ascii="Arial" w:eastAsia="Arial" w:hAnsi="Arial" w:cs="Arial"/>
          <w:smallCaps/>
          <w:color w:val="000000"/>
          <w:sz w:val="32"/>
          <w:szCs w:val="32"/>
        </w:rPr>
        <w:t>PR</w:t>
      </w:r>
      <w:r>
        <w:rPr>
          <w:rFonts w:ascii="Arial" w:eastAsia="Arial" w:hAnsi="Arial" w:cs="Arial"/>
          <w:smallCaps/>
          <w:color w:val="000000"/>
          <w:sz w:val="32"/>
          <w:szCs w:val="32"/>
        </w:rPr>
        <w:t>ICE</w:t>
      </w:r>
    </w:p>
    <w:p w14:paraId="09C9F650"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Prices should be inclusive of expenses and exclusive of VAT.</w:t>
      </w:r>
    </w:p>
    <w:p w14:paraId="23FB1C2D"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The Contracting Authority is looking for the most competitive bid that can deliver maximum value for money. This will be assessed in accordance with Attachment 2. </w:t>
      </w:r>
    </w:p>
    <w:p w14:paraId="7374BE44"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Usage of, and charges from,</w:t>
      </w:r>
      <w:r>
        <w:rPr>
          <w:rFonts w:ascii="Arial" w:eastAsia="Arial" w:hAnsi="Arial" w:cs="Arial"/>
          <w:b w:val="0"/>
          <w:color w:val="000000"/>
          <w:sz w:val="24"/>
          <w:szCs w:val="24"/>
        </w:rPr>
        <w:t xml:space="preserve"> third party suppliers should be clearly identified and explained.  The Contracting Authority expects the Supplier to ensure that third party suppliers are commissioned on a clear value for money basis, and that such activities are passed on at cost.</w:t>
      </w:r>
    </w:p>
    <w:p w14:paraId="60B42153" w14:textId="77777777" w:rsidR="00EC09F5" w:rsidRDefault="00035912">
      <w:pPr>
        <w:pStyle w:val="Heading2"/>
        <w:keepNext w:val="0"/>
        <w:keepLines w:val="0"/>
        <w:numPr>
          <w:ilvl w:val="1"/>
          <w:numId w:val="6"/>
        </w:numPr>
        <w:spacing w:before="0" w:after="120" w:line="240" w:lineRule="auto"/>
        <w:ind w:left="709"/>
        <w:jc w:val="both"/>
        <w:rPr>
          <w:rFonts w:ascii="Arial" w:eastAsia="Arial" w:hAnsi="Arial" w:cs="Arial"/>
          <w:sz w:val="24"/>
          <w:szCs w:val="24"/>
        </w:rPr>
      </w:pPr>
      <w:r>
        <w:rPr>
          <w:rFonts w:ascii="Arial" w:eastAsia="Arial" w:hAnsi="Arial" w:cs="Arial"/>
          <w:b w:val="0"/>
          <w:color w:val="000000"/>
          <w:sz w:val="24"/>
          <w:szCs w:val="24"/>
        </w:rPr>
        <w:t>Price</w:t>
      </w:r>
      <w:r>
        <w:rPr>
          <w:rFonts w:ascii="Arial" w:eastAsia="Arial" w:hAnsi="Arial" w:cs="Arial"/>
          <w:b w:val="0"/>
          <w:color w:val="000000"/>
          <w:sz w:val="24"/>
          <w:szCs w:val="24"/>
        </w:rPr>
        <w:t>s are to be submitted via the e-Sourcing Suite [Attachment 4 – Price Schedule excluding VAT and including all other expenses relating to Contract delivery.</w:t>
      </w:r>
    </w:p>
    <w:p w14:paraId="796F5945" w14:textId="77777777" w:rsidR="00EC09F5" w:rsidRDefault="00035912">
      <w:pPr>
        <w:pStyle w:val="Heading1"/>
        <w:keepLines w:val="0"/>
        <w:numPr>
          <w:ilvl w:val="0"/>
          <w:numId w:val="6"/>
        </w:numPr>
        <w:spacing w:before="0" w:after="120" w:line="240" w:lineRule="auto"/>
        <w:ind w:left="709"/>
        <w:jc w:val="both"/>
        <w:rPr>
          <w:rFonts w:ascii="Arial" w:eastAsia="Arial" w:hAnsi="Arial" w:cs="Arial"/>
          <w:sz w:val="32"/>
          <w:szCs w:val="32"/>
        </w:rPr>
      </w:pPr>
      <w:bookmarkStart w:id="28" w:name="_heading=h.1pxezwc" w:colFirst="0" w:colLast="0"/>
      <w:bookmarkEnd w:id="28"/>
      <w:r>
        <w:rPr>
          <w:rFonts w:ascii="Arial" w:eastAsia="Arial" w:hAnsi="Arial" w:cs="Arial"/>
          <w:smallCaps/>
          <w:color w:val="000000"/>
          <w:sz w:val="32"/>
          <w:szCs w:val="32"/>
        </w:rPr>
        <w:t>STAFF AND CUSTOMER SERVICE</w:t>
      </w:r>
    </w:p>
    <w:p w14:paraId="3FC0B064" w14:textId="77777777" w:rsidR="00EC09F5" w:rsidRDefault="00035912">
      <w:pPr>
        <w:pStyle w:val="Heading2"/>
        <w:keepNext w:val="0"/>
        <w:keepLines w:val="0"/>
        <w:numPr>
          <w:ilvl w:val="1"/>
          <w:numId w:val="6"/>
        </w:numPr>
        <w:spacing w:before="0" w:after="120" w:line="240" w:lineRule="auto"/>
        <w:ind w:left="709"/>
        <w:jc w:val="both"/>
        <w:rPr>
          <w:rFonts w:ascii="Arial" w:eastAsia="Arial" w:hAnsi="Arial" w:cs="Arial"/>
          <w:sz w:val="24"/>
          <w:szCs w:val="24"/>
        </w:rPr>
      </w:pPr>
      <w:r>
        <w:rPr>
          <w:rFonts w:ascii="Arial" w:eastAsia="Arial" w:hAnsi="Arial" w:cs="Arial"/>
          <w:b w:val="0"/>
          <w:color w:val="000000"/>
          <w:sz w:val="24"/>
          <w:szCs w:val="24"/>
        </w:rPr>
        <w:t xml:space="preserve">The Supplier shall provide a sufficient level of resource throughout the </w:t>
      </w:r>
      <w:r>
        <w:rPr>
          <w:rFonts w:ascii="Arial" w:eastAsia="Arial" w:hAnsi="Arial" w:cs="Arial"/>
          <w:b w:val="0"/>
          <w:color w:val="000000"/>
          <w:sz w:val="24"/>
          <w:szCs w:val="24"/>
        </w:rPr>
        <w:t>duration of the Contract in order to consistently deliver a quality service.</w:t>
      </w:r>
    </w:p>
    <w:p w14:paraId="5E3BBDC6" w14:textId="77777777" w:rsidR="00EC09F5" w:rsidRDefault="00035912">
      <w:pPr>
        <w:pStyle w:val="Heading2"/>
        <w:keepNext w:val="0"/>
        <w:keepLines w:val="0"/>
        <w:numPr>
          <w:ilvl w:val="1"/>
          <w:numId w:val="6"/>
        </w:numPr>
        <w:spacing w:before="0" w:after="120" w:line="240" w:lineRule="auto"/>
        <w:ind w:left="709"/>
        <w:jc w:val="both"/>
        <w:rPr>
          <w:rFonts w:ascii="Arial" w:eastAsia="Arial" w:hAnsi="Arial" w:cs="Arial"/>
          <w:sz w:val="24"/>
          <w:szCs w:val="24"/>
        </w:rPr>
      </w:pPr>
      <w:r>
        <w:rPr>
          <w:rFonts w:ascii="Arial" w:eastAsia="Arial" w:hAnsi="Arial" w:cs="Arial"/>
          <w:b w:val="0"/>
          <w:color w:val="000000"/>
          <w:sz w:val="24"/>
          <w:szCs w:val="24"/>
        </w:rPr>
        <w:t xml:space="preserve">The Supplier’s staff assigned to the Contract shall have the relevant qualifications and experience to deliver the Contract to the required standard. </w:t>
      </w:r>
    </w:p>
    <w:p w14:paraId="34EC3FC7" w14:textId="77777777" w:rsidR="00EC09F5" w:rsidRDefault="00035912">
      <w:pPr>
        <w:pStyle w:val="Heading2"/>
        <w:keepNext w:val="0"/>
        <w:keepLines w:val="0"/>
        <w:numPr>
          <w:ilvl w:val="1"/>
          <w:numId w:val="6"/>
        </w:numPr>
        <w:spacing w:before="0" w:after="120" w:line="240" w:lineRule="auto"/>
        <w:ind w:left="709"/>
        <w:jc w:val="both"/>
        <w:rPr>
          <w:rFonts w:ascii="Arial" w:eastAsia="Arial" w:hAnsi="Arial" w:cs="Arial"/>
          <w:sz w:val="24"/>
          <w:szCs w:val="24"/>
        </w:rPr>
      </w:pPr>
      <w:r>
        <w:rPr>
          <w:rFonts w:ascii="Arial" w:eastAsia="Arial" w:hAnsi="Arial" w:cs="Arial"/>
          <w:b w:val="0"/>
          <w:color w:val="000000"/>
          <w:sz w:val="24"/>
          <w:szCs w:val="24"/>
        </w:rPr>
        <w:t>The Supplier shall ensure th</w:t>
      </w:r>
      <w:r>
        <w:rPr>
          <w:rFonts w:ascii="Arial" w:eastAsia="Arial" w:hAnsi="Arial" w:cs="Arial"/>
          <w:b w:val="0"/>
          <w:color w:val="000000"/>
          <w:sz w:val="24"/>
          <w:szCs w:val="24"/>
        </w:rPr>
        <w:t xml:space="preserve">at staff understand the Authority’s vision and objectives and will provide excellent customer service to the Authority throughout the duration of the Contract.  </w:t>
      </w:r>
    </w:p>
    <w:p w14:paraId="66578FE1" w14:textId="77777777" w:rsidR="00EC09F5" w:rsidRDefault="00035912">
      <w:pPr>
        <w:pStyle w:val="Heading1"/>
        <w:keepLines w:val="0"/>
        <w:numPr>
          <w:ilvl w:val="0"/>
          <w:numId w:val="6"/>
        </w:numPr>
        <w:spacing w:before="0" w:after="120" w:line="240" w:lineRule="auto"/>
        <w:ind w:left="709"/>
        <w:jc w:val="both"/>
        <w:rPr>
          <w:rFonts w:ascii="Arial" w:eastAsia="Arial" w:hAnsi="Arial" w:cs="Arial"/>
          <w:sz w:val="32"/>
          <w:szCs w:val="32"/>
        </w:rPr>
      </w:pPr>
      <w:bookmarkStart w:id="29" w:name="_heading=h.49x2ik5" w:colFirst="0" w:colLast="0"/>
      <w:bookmarkEnd w:id="29"/>
      <w:r>
        <w:rPr>
          <w:rFonts w:ascii="Arial" w:eastAsia="Arial" w:hAnsi="Arial" w:cs="Arial"/>
          <w:smallCaps/>
          <w:color w:val="000000"/>
          <w:sz w:val="32"/>
          <w:szCs w:val="32"/>
        </w:rPr>
        <w:lastRenderedPageBreak/>
        <w:t>service levels and performance</w:t>
      </w:r>
    </w:p>
    <w:p w14:paraId="48379BBB" w14:textId="77777777" w:rsidR="00EC09F5" w:rsidRDefault="00035912">
      <w:pPr>
        <w:pStyle w:val="Heading2"/>
        <w:keepNext w:val="0"/>
        <w:keepLines w:val="0"/>
        <w:numPr>
          <w:ilvl w:val="1"/>
          <w:numId w:val="6"/>
        </w:numPr>
        <w:spacing w:before="0" w:after="120" w:line="240" w:lineRule="auto"/>
        <w:ind w:left="709"/>
        <w:jc w:val="both"/>
        <w:rPr>
          <w:rFonts w:ascii="Arial" w:eastAsia="Arial" w:hAnsi="Arial" w:cs="Arial"/>
          <w:sz w:val="24"/>
          <w:szCs w:val="24"/>
        </w:rPr>
      </w:pPr>
      <w:bookmarkStart w:id="30" w:name="_heading=h.2p2csry" w:colFirst="0" w:colLast="0"/>
      <w:bookmarkEnd w:id="30"/>
      <w:r>
        <w:rPr>
          <w:rFonts w:ascii="Arial" w:eastAsia="Arial" w:hAnsi="Arial" w:cs="Arial"/>
          <w:b w:val="0"/>
          <w:color w:val="000000"/>
          <w:sz w:val="24"/>
          <w:szCs w:val="24"/>
        </w:rPr>
        <w:t>The Authority will measure the quality of the Supplier’s delive</w:t>
      </w:r>
      <w:r>
        <w:rPr>
          <w:rFonts w:ascii="Arial" w:eastAsia="Arial" w:hAnsi="Arial" w:cs="Arial"/>
          <w:b w:val="0"/>
          <w:color w:val="000000"/>
          <w:sz w:val="24"/>
          <w:szCs w:val="24"/>
        </w:rPr>
        <w:t xml:space="preserve">ry against timeliness of deliveries and alignment to </w:t>
      </w:r>
      <w:hyperlink r:id="rId14">
        <w:r>
          <w:rPr>
            <w:rFonts w:ascii="Arial" w:eastAsia="Arial" w:hAnsi="Arial" w:cs="Arial"/>
            <w:b w:val="0"/>
            <w:color w:val="0000FF"/>
            <w:sz w:val="24"/>
            <w:szCs w:val="24"/>
            <w:u w:val="single"/>
          </w:rPr>
          <w:t>the Aqua book</w:t>
        </w:r>
      </w:hyperlink>
      <w:r>
        <w:rPr>
          <w:rFonts w:ascii="Arial" w:eastAsia="Arial" w:hAnsi="Arial" w:cs="Arial"/>
          <w:b w:val="0"/>
          <w:color w:val="000000"/>
          <w:sz w:val="24"/>
          <w:szCs w:val="24"/>
        </w:rPr>
        <w:t>.</w:t>
      </w:r>
    </w:p>
    <w:p w14:paraId="185E2B7B" w14:textId="77777777" w:rsidR="00EC09F5" w:rsidRDefault="00035912">
      <w:pPr>
        <w:pStyle w:val="Heading1"/>
        <w:keepLines w:val="0"/>
        <w:numPr>
          <w:ilvl w:val="0"/>
          <w:numId w:val="6"/>
        </w:numPr>
        <w:spacing w:before="0" w:after="120" w:line="240" w:lineRule="auto"/>
        <w:jc w:val="both"/>
        <w:rPr>
          <w:rFonts w:ascii="Arial" w:eastAsia="Arial" w:hAnsi="Arial" w:cs="Arial"/>
          <w:sz w:val="32"/>
          <w:szCs w:val="32"/>
        </w:rPr>
      </w:pPr>
      <w:bookmarkStart w:id="31" w:name="_heading=h.147n2zr" w:colFirst="0" w:colLast="0"/>
      <w:bookmarkEnd w:id="31"/>
      <w:r>
        <w:rPr>
          <w:rFonts w:ascii="Arial" w:eastAsia="Arial" w:hAnsi="Arial" w:cs="Arial"/>
          <w:smallCaps/>
          <w:color w:val="000000"/>
          <w:sz w:val="32"/>
          <w:szCs w:val="32"/>
        </w:rPr>
        <w:t>Security and CONFIDENTIALITY requirements</w:t>
      </w:r>
    </w:p>
    <w:p w14:paraId="6FB6B94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Suppliers should</w:t>
      </w:r>
      <w:r>
        <w:rPr>
          <w:rFonts w:ascii="Arial" w:eastAsia="Arial" w:hAnsi="Arial" w:cs="Arial"/>
          <w:b w:val="0"/>
          <w:color w:val="000000"/>
          <w:sz w:val="24"/>
          <w:szCs w:val="24"/>
        </w:rPr>
        <w:t xml:space="preserve"> confirm they hold either Cyber Essentials Plus or ISO27001 certification.</w:t>
      </w:r>
    </w:p>
    <w:p w14:paraId="4FEF4125"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bookmarkStart w:id="32" w:name="_heading=h.3o7alnk" w:colFirst="0" w:colLast="0"/>
      <w:bookmarkEnd w:id="32"/>
      <w:r>
        <w:rPr>
          <w:rFonts w:ascii="Arial" w:eastAsia="Arial" w:hAnsi="Arial" w:cs="Arial"/>
          <w:b w:val="0"/>
          <w:color w:val="000000"/>
          <w:sz w:val="24"/>
          <w:szCs w:val="24"/>
        </w:rPr>
        <w:t>The Supplier is required to implement appropriate arrangements for data security at all times, particularly relating to the transmission and storage of personal data. Such procedure</w:t>
      </w:r>
      <w:r>
        <w:rPr>
          <w:rFonts w:ascii="Arial" w:eastAsia="Arial" w:hAnsi="Arial" w:cs="Arial"/>
          <w:b w:val="0"/>
          <w:color w:val="000000"/>
          <w:sz w:val="24"/>
          <w:szCs w:val="24"/>
        </w:rPr>
        <w:t xml:space="preserve">s must meet the standards outlined in the framework terms and conditions, UK GDPR and the Data Protection Act 2018.  </w:t>
      </w:r>
    </w:p>
    <w:p w14:paraId="28A30C9F"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Processes should be in place for data being returned by interviewers and safeguarding against data loss, including appropriate risk manage</w:t>
      </w:r>
      <w:r>
        <w:rPr>
          <w:rFonts w:ascii="Arial" w:eastAsia="Arial" w:hAnsi="Arial" w:cs="Arial"/>
          <w:b w:val="0"/>
          <w:color w:val="000000"/>
          <w:sz w:val="24"/>
          <w:szCs w:val="24"/>
        </w:rPr>
        <w:t>ment procedures. Potential Suppliers should confirm within their response that such procedures will be implemented and outline the technical measures to be put in place to meet such requirements.</w:t>
      </w:r>
    </w:p>
    <w:p w14:paraId="122803FC"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Participants should be made aware that participation is completely voluntary and that they can withdraw consent at any point. In addition, participation is confidential and anonymous; although the research may be included in a published report, no informat</w:t>
      </w:r>
      <w:r>
        <w:rPr>
          <w:rFonts w:ascii="Arial" w:eastAsia="Arial" w:hAnsi="Arial" w:cs="Arial"/>
          <w:b w:val="0"/>
          <w:color w:val="000000"/>
          <w:sz w:val="24"/>
          <w:szCs w:val="24"/>
        </w:rPr>
        <w:t>ion that could identify any individual would be used when presenting findings from the study. A privacy notice must be made available.</w:t>
      </w:r>
    </w:p>
    <w:p w14:paraId="242D9452" w14:textId="77777777" w:rsidR="00EC09F5" w:rsidRDefault="00035912">
      <w:pPr>
        <w:pStyle w:val="Heading1"/>
        <w:keepLines w:val="0"/>
        <w:numPr>
          <w:ilvl w:val="0"/>
          <w:numId w:val="6"/>
        </w:numPr>
        <w:spacing w:before="0" w:after="120" w:line="240" w:lineRule="auto"/>
        <w:ind w:left="709"/>
        <w:jc w:val="both"/>
        <w:rPr>
          <w:rFonts w:ascii="Arial" w:eastAsia="Arial" w:hAnsi="Arial" w:cs="Arial"/>
          <w:sz w:val="32"/>
          <w:szCs w:val="32"/>
        </w:rPr>
      </w:pPr>
      <w:bookmarkStart w:id="33" w:name="_heading=h.23ckvvd" w:colFirst="0" w:colLast="0"/>
      <w:bookmarkEnd w:id="33"/>
      <w:r>
        <w:rPr>
          <w:rFonts w:ascii="Arial" w:eastAsia="Arial" w:hAnsi="Arial" w:cs="Arial"/>
          <w:smallCaps/>
          <w:color w:val="000000"/>
          <w:sz w:val="32"/>
          <w:szCs w:val="32"/>
        </w:rPr>
        <w:t xml:space="preserve">payment AND INVOICING </w:t>
      </w:r>
    </w:p>
    <w:p w14:paraId="039FC2FE"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Suppliers will be invoiced to the following schedules:</w:t>
      </w:r>
    </w:p>
    <w:tbl>
      <w:tblPr>
        <w:tblStyle w:val="aa"/>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051"/>
        <w:gridCol w:w="2098"/>
        <w:gridCol w:w="2134"/>
        <w:gridCol w:w="2016"/>
      </w:tblGrid>
      <w:tr w:rsidR="00EC09F5" w14:paraId="0E0202C1" w14:textId="77777777">
        <w:tc>
          <w:tcPr>
            <w:tcW w:w="8299" w:type="dxa"/>
            <w:gridSpan w:val="4"/>
            <w:shd w:val="clear" w:color="auto" w:fill="548DD4"/>
            <w:vAlign w:val="center"/>
          </w:tcPr>
          <w:p w14:paraId="23083C67" w14:textId="77777777" w:rsidR="00EC09F5" w:rsidRDefault="00035912">
            <w:pPr>
              <w:pStyle w:val="Heading2"/>
              <w:keepNext w:val="0"/>
              <w:keepLines w:val="0"/>
              <w:spacing w:before="0" w:after="240" w:line="240" w:lineRule="auto"/>
              <w:ind w:left="720"/>
              <w:jc w:val="center"/>
              <w:outlineLvl w:val="1"/>
              <w:rPr>
                <w:rFonts w:ascii="Arial" w:eastAsia="Arial" w:hAnsi="Arial" w:cs="Arial"/>
                <w:color w:val="000000"/>
                <w:sz w:val="24"/>
                <w:szCs w:val="24"/>
              </w:rPr>
            </w:pPr>
            <w:r>
              <w:rPr>
                <w:rFonts w:ascii="Arial" w:eastAsia="Arial" w:hAnsi="Arial" w:cs="Arial"/>
                <w:color w:val="000000"/>
                <w:sz w:val="24"/>
                <w:szCs w:val="24"/>
              </w:rPr>
              <w:t>Lot 1</w:t>
            </w:r>
          </w:p>
        </w:tc>
      </w:tr>
      <w:tr w:rsidR="00EC09F5" w14:paraId="13A46100" w14:textId="77777777">
        <w:tc>
          <w:tcPr>
            <w:tcW w:w="2051" w:type="dxa"/>
            <w:shd w:val="clear" w:color="auto" w:fill="C6D9F1"/>
            <w:vAlign w:val="center"/>
          </w:tcPr>
          <w:p w14:paraId="7E305697" w14:textId="77777777" w:rsidR="00EC09F5" w:rsidRDefault="00035912">
            <w:pPr>
              <w:pStyle w:val="Heading2"/>
              <w:keepNext w:val="0"/>
              <w:keepLines w:val="0"/>
              <w:spacing w:before="0" w:after="240" w:line="240" w:lineRule="auto"/>
              <w:ind w:left="720"/>
              <w:jc w:val="center"/>
              <w:outlineLvl w:val="1"/>
              <w:rPr>
                <w:rFonts w:ascii="Arial" w:eastAsia="Arial" w:hAnsi="Arial" w:cs="Arial"/>
                <w:color w:val="000000"/>
                <w:sz w:val="24"/>
                <w:szCs w:val="24"/>
              </w:rPr>
            </w:pPr>
            <w:r>
              <w:rPr>
                <w:rFonts w:ascii="Arial" w:eastAsia="Arial" w:hAnsi="Arial" w:cs="Arial"/>
                <w:color w:val="000000"/>
                <w:sz w:val="24"/>
                <w:szCs w:val="24"/>
              </w:rPr>
              <w:t>Invoice</w:t>
            </w:r>
          </w:p>
        </w:tc>
        <w:tc>
          <w:tcPr>
            <w:tcW w:w="2098" w:type="dxa"/>
            <w:shd w:val="clear" w:color="auto" w:fill="C6D9F1"/>
            <w:vAlign w:val="center"/>
          </w:tcPr>
          <w:p w14:paraId="1F76CCB4" w14:textId="77777777" w:rsidR="00EC09F5" w:rsidRDefault="00035912">
            <w:pPr>
              <w:pStyle w:val="Heading2"/>
              <w:keepNext w:val="0"/>
              <w:keepLines w:val="0"/>
              <w:spacing w:before="0" w:after="240" w:line="240" w:lineRule="auto"/>
              <w:ind w:left="720"/>
              <w:jc w:val="center"/>
              <w:outlineLvl w:val="1"/>
              <w:rPr>
                <w:rFonts w:ascii="Arial" w:eastAsia="Arial" w:hAnsi="Arial" w:cs="Arial"/>
                <w:color w:val="000000"/>
                <w:sz w:val="24"/>
                <w:szCs w:val="24"/>
              </w:rPr>
            </w:pPr>
            <w:r>
              <w:rPr>
                <w:rFonts w:ascii="Arial" w:eastAsia="Arial" w:hAnsi="Arial" w:cs="Arial"/>
                <w:color w:val="000000"/>
                <w:sz w:val="24"/>
                <w:szCs w:val="24"/>
              </w:rPr>
              <w:t>Milestone</w:t>
            </w:r>
          </w:p>
        </w:tc>
        <w:tc>
          <w:tcPr>
            <w:tcW w:w="2134" w:type="dxa"/>
            <w:shd w:val="clear" w:color="auto" w:fill="C6D9F1"/>
            <w:vAlign w:val="center"/>
          </w:tcPr>
          <w:p w14:paraId="2B97D3F5" w14:textId="77777777" w:rsidR="00EC09F5" w:rsidRDefault="00035912">
            <w:pPr>
              <w:pStyle w:val="Heading2"/>
              <w:keepNext w:val="0"/>
              <w:keepLines w:val="0"/>
              <w:spacing w:before="0" w:after="240" w:line="240" w:lineRule="auto"/>
              <w:ind w:left="720"/>
              <w:jc w:val="center"/>
              <w:outlineLvl w:val="1"/>
              <w:rPr>
                <w:rFonts w:ascii="Arial" w:eastAsia="Arial" w:hAnsi="Arial" w:cs="Arial"/>
                <w:color w:val="000000"/>
                <w:sz w:val="24"/>
                <w:szCs w:val="24"/>
              </w:rPr>
            </w:pPr>
            <w:r>
              <w:rPr>
                <w:rFonts w:ascii="Arial" w:eastAsia="Arial" w:hAnsi="Arial" w:cs="Arial"/>
                <w:color w:val="000000"/>
                <w:sz w:val="24"/>
                <w:szCs w:val="24"/>
              </w:rPr>
              <w:t>Description</w:t>
            </w:r>
          </w:p>
        </w:tc>
        <w:tc>
          <w:tcPr>
            <w:tcW w:w="2016" w:type="dxa"/>
            <w:shd w:val="clear" w:color="auto" w:fill="C6D9F1"/>
            <w:vAlign w:val="center"/>
          </w:tcPr>
          <w:p w14:paraId="7AAB2B2D" w14:textId="77777777" w:rsidR="00EC09F5" w:rsidRDefault="00035912">
            <w:pPr>
              <w:pStyle w:val="Heading2"/>
              <w:keepNext w:val="0"/>
              <w:keepLines w:val="0"/>
              <w:spacing w:before="0" w:after="240" w:line="240" w:lineRule="auto"/>
              <w:ind w:left="720"/>
              <w:jc w:val="center"/>
              <w:outlineLvl w:val="1"/>
              <w:rPr>
                <w:rFonts w:ascii="Arial" w:eastAsia="Arial" w:hAnsi="Arial" w:cs="Arial"/>
                <w:color w:val="000000"/>
                <w:sz w:val="24"/>
                <w:szCs w:val="24"/>
              </w:rPr>
            </w:pPr>
            <w:r>
              <w:rPr>
                <w:rFonts w:ascii="Arial" w:eastAsia="Arial" w:hAnsi="Arial" w:cs="Arial"/>
                <w:color w:val="000000"/>
                <w:sz w:val="24"/>
                <w:szCs w:val="24"/>
              </w:rPr>
              <w:t>% of value</w:t>
            </w:r>
          </w:p>
        </w:tc>
      </w:tr>
      <w:tr w:rsidR="00EC09F5" w14:paraId="2D13D97A" w14:textId="77777777">
        <w:tc>
          <w:tcPr>
            <w:tcW w:w="2051" w:type="dxa"/>
          </w:tcPr>
          <w:p w14:paraId="2429F606"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1</w:t>
            </w:r>
          </w:p>
        </w:tc>
        <w:tc>
          <w:tcPr>
            <w:tcW w:w="2098" w:type="dxa"/>
          </w:tcPr>
          <w:p w14:paraId="78D0006B"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4</w:t>
            </w:r>
          </w:p>
        </w:tc>
        <w:tc>
          <w:tcPr>
            <w:tcW w:w="2134" w:type="dxa"/>
          </w:tcPr>
          <w:p w14:paraId="5EAD0A92"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Literature review</w:t>
            </w:r>
          </w:p>
        </w:tc>
        <w:tc>
          <w:tcPr>
            <w:tcW w:w="2016" w:type="dxa"/>
          </w:tcPr>
          <w:p w14:paraId="2F7B6D10"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15%</w:t>
            </w:r>
          </w:p>
        </w:tc>
      </w:tr>
      <w:tr w:rsidR="00EC09F5" w14:paraId="70BD0B94" w14:textId="77777777">
        <w:tc>
          <w:tcPr>
            <w:tcW w:w="2051" w:type="dxa"/>
          </w:tcPr>
          <w:p w14:paraId="6D8AEEEA"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2</w:t>
            </w:r>
          </w:p>
        </w:tc>
        <w:tc>
          <w:tcPr>
            <w:tcW w:w="2098" w:type="dxa"/>
          </w:tcPr>
          <w:p w14:paraId="05FC7FCC"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Contract review point - March</w:t>
            </w:r>
          </w:p>
        </w:tc>
        <w:tc>
          <w:tcPr>
            <w:tcW w:w="2134" w:type="dxa"/>
          </w:tcPr>
          <w:p w14:paraId="42BF6118"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Satisfactory review of progress to date</w:t>
            </w:r>
          </w:p>
        </w:tc>
        <w:tc>
          <w:tcPr>
            <w:tcW w:w="2016" w:type="dxa"/>
          </w:tcPr>
          <w:p w14:paraId="42FCA119"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15%</w:t>
            </w:r>
          </w:p>
        </w:tc>
      </w:tr>
      <w:tr w:rsidR="00EC09F5" w14:paraId="63D03F24" w14:textId="77777777">
        <w:tc>
          <w:tcPr>
            <w:tcW w:w="2051" w:type="dxa"/>
          </w:tcPr>
          <w:p w14:paraId="1F722241"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3</w:t>
            </w:r>
          </w:p>
        </w:tc>
        <w:tc>
          <w:tcPr>
            <w:tcW w:w="2098" w:type="dxa"/>
          </w:tcPr>
          <w:p w14:paraId="7898EA42"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5</w:t>
            </w:r>
          </w:p>
        </w:tc>
        <w:tc>
          <w:tcPr>
            <w:tcW w:w="2134" w:type="dxa"/>
          </w:tcPr>
          <w:p w14:paraId="1D5FCD3B"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Interim findings presented</w:t>
            </w:r>
          </w:p>
        </w:tc>
        <w:tc>
          <w:tcPr>
            <w:tcW w:w="2016" w:type="dxa"/>
          </w:tcPr>
          <w:p w14:paraId="7F510F98"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30%</w:t>
            </w:r>
          </w:p>
        </w:tc>
      </w:tr>
      <w:tr w:rsidR="00EC09F5" w14:paraId="2FDD80D6" w14:textId="77777777">
        <w:tc>
          <w:tcPr>
            <w:tcW w:w="2051" w:type="dxa"/>
          </w:tcPr>
          <w:p w14:paraId="47132AE9"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lastRenderedPageBreak/>
              <w:t>4</w:t>
            </w:r>
          </w:p>
        </w:tc>
        <w:tc>
          <w:tcPr>
            <w:tcW w:w="2098" w:type="dxa"/>
          </w:tcPr>
          <w:p w14:paraId="4561F686"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7</w:t>
            </w:r>
          </w:p>
        </w:tc>
        <w:tc>
          <w:tcPr>
            <w:tcW w:w="2134" w:type="dxa"/>
          </w:tcPr>
          <w:p w14:paraId="5A3B5044"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Final report (signed off by Authority)</w:t>
            </w:r>
          </w:p>
        </w:tc>
        <w:tc>
          <w:tcPr>
            <w:tcW w:w="2016" w:type="dxa"/>
          </w:tcPr>
          <w:p w14:paraId="30831586"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40%</w:t>
            </w:r>
          </w:p>
        </w:tc>
      </w:tr>
      <w:tr w:rsidR="00EC09F5" w14:paraId="3D115ABB" w14:textId="77777777">
        <w:tc>
          <w:tcPr>
            <w:tcW w:w="8299" w:type="dxa"/>
            <w:gridSpan w:val="4"/>
            <w:shd w:val="clear" w:color="auto" w:fill="548DD4"/>
            <w:vAlign w:val="center"/>
          </w:tcPr>
          <w:p w14:paraId="5FA44C56" w14:textId="77777777" w:rsidR="00EC09F5" w:rsidRDefault="00035912">
            <w:pPr>
              <w:pStyle w:val="Heading2"/>
              <w:keepNext w:val="0"/>
              <w:keepLines w:val="0"/>
              <w:spacing w:before="0" w:after="240" w:line="240" w:lineRule="auto"/>
              <w:ind w:left="720"/>
              <w:jc w:val="center"/>
              <w:outlineLvl w:val="1"/>
              <w:rPr>
                <w:rFonts w:ascii="Arial" w:eastAsia="Arial" w:hAnsi="Arial" w:cs="Arial"/>
                <w:color w:val="000000"/>
                <w:sz w:val="24"/>
                <w:szCs w:val="24"/>
              </w:rPr>
            </w:pPr>
            <w:r>
              <w:rPr>
                <w:rFonts w:ascii="Arial" w:eastAsia="Arial" w:hAnsi="Arial" w:cs="Arial"/>
                <w:color w:val="000000"/>
                <w:sz w:val="24"/>
                <w:szCs w:val="24"/>
              </w:rPr>
              <w:t>Lot 2</w:t>
            </w:r>
          </w:p>
        </w:tc>
      </w:tr>
      <w:tr w:rsidR="00EC09F5" w14:paraId="3DEC5921" w14:textId="77777777">
        <w:tc>
          <w:tcPr>
            <w:tcW w:w="2051" w:type="dxa"/>
            <w:shd w:val="clear" w:color="auto" w:fill="C6D9F1"/>
            <w:vAlign w:val="center"/>
          </w:tcPr>
          <w:p w14:paraId="5DD28974" w14:textId="77777777" w:rsidR="00EC09F5" w:rsidRDefault="00035912">
            <w:pPr>
              <w:pStyle w:val="Heading2"/>
              <w:keepNext w:val="0"/>
              <w:keepLines w:val="0"/>
              <w:spacing w:before="0" w:after="240" w:line="240" w:lineRule="auto"/>
              <w:ind w:left="720"/>
              <w:jc w:val="center"/>
              <w:outlineLvl w:val="1"/>
              <w:rPr>
                <w:rFonts w:ascii="Arial" w:eastAsia="Arial" w:hAnsi="Arial" w:cs="Arial"/>
                <w:color w:val="000000"/>
                <w:sz w:val="24"/>
                <w:szCs w:val="24"/>
              </w:rPr>
            </w:pPr>
            <w:r>
              <w:rPr>
                <w:rFonts w:ascii="Arial" w:eastAsia="Arial" w:hAnsi="Arial" w:cs="Arial"/>
                <w:color w:val="000000"/>
                <w:sz w:val="24"/>
                <w:szCs w:val="24"/>
              </w:rPr>
              <w:t>Invoice</w:t>
            </w:r>
          </w:p>
        </w:tc>
        <w:tc>
          <w:tcPr>
            <w:tcW w:w="2098" w:type="dxa"/>
            <w:shd w:val="clear" w:color="auto" w:fill="C6D9F1"/>
            <w:vAlign w:val="center"/>
          </w:tcPr>
          <w:p w14:paraId="70F018F4" w14:textId="77777777" w:rsidR="00EC09F5" w:rsidRDefault="00035912">
            <w:pPr>
              <w:pStyle w:val="Heading2"/>
              <w:keepNext w:val="0"/>
              <w:keepLines w:val="0"/>
              <w:spacing w:before="0" w:after="240" w:line="240" w:lineRule="auto"/>
              <w:ind w:left="720"/>
              <w:jc w:val="center"/>
              <w:outlineLvl w:val="1"/>
              <w:rPr>
                <w:rFonts w:ascii="Arial" w:eastAsia="Arial" w:hAnsi="Arial" w:cs="Arial"/>
                <w:color w:val="000000"/>
                <w:sz w:val="24"/>
                <w:szCs w:val="24"/>
              </w:rPr>
            </w:pPr>
            <w:r>
              <w:rPr>
                <w:rFonts w:ascii="Arial" w:eastAsia="Arial" w:hAnsi="Arial" w:cs="Arial"/>
                <w:color w:val="000000"/>
                <w:sz w:val="24"/>
                <w:szCs w:val="24"/>
              </w:rPr>
              <w:t>Milestone</w:t>
            </w:r>
          </w:p>
        </w:tc>
        <w:tc>
          <w:tcPr>
            <w:tcW w:w="2134" w:type="dxa"/>
            <w:shd w:val="clear" w:color="auto" w:fill="C6D9F1"/>
            <w:vAlign w:val="center"/>
          </w:tcPr>
          <w:p w14:paraId="45FA4579" w14:textId="77777777" w:rsidR="00EC09F5" w:rsidRDefault="00035912">
            <w:pPr>
              <w:pStyle w:val="Heading2"/>
              <w:keepNext w:val="0"/>
              <w:keepLines w:val="0"/>
              <w:spacing w:before="0" w:after="240" w:line="240" w:lineRule="auto"/>
              <w:ind w:left="720"/>
              <w:jc w:val="center"/>
              <w:outlineLvl w:val="1"/>
              <w:rPr>
                <w:rFonts w:ascii="Arial" w:eastAsia="Arial" w:hAnsi="Arial" w:cs="Arial"/>
                <w:color w:val="000000"/>
                <w:sz w:val="24"/>
                <w:szCs w:val="24"/>
              </w:rPr>
            </w:pPr>
            <w:r>
              <w:rPr>
                <w:rFonts w:ascii="Arial" w:eastAsia="Arial" w:hAnsi="Arial" w:cs="Arial"/>
                <w:color w:val="000000"/>
                <w:sz w:val="24"/>
                <w:szCs w:val="24"/>
              </w:rPr>
              <w:t>Description</w:t>
            </w:r>
          </w:p>
        </w:tc>
        <w:tc>
          <w:tcPr>
            <w:tcW w:w="2016" w:type="dxa"/>
            <w:shd w:val="clear" w:color="auto" w:fill="C6D9F1"/>
            <w:vAlign w:val="center"/>
          </w:tcPr>
          <w:p w14:paraId="2D47FE1D" w14:textId="77777777" w:rsidR="00EC09F5" w:rsidRDefault="00035912">
            <w:pPr>
              <w:pStyle w:val="Heading2"/>
              <w:keepNext w:val="0"/>
              <w:keepLines w:val="0"/>
              <w:spacing w:before="0" w:after="240" w:line="240" w:lineRule="auto"/>
              <w:ind w:left="720"/>
              <w:jc w:val="center"/>
              <w:outlineLvl w:val="1"/>
              <w:rPr>
                <w:rFonts w:ascii="Arial" w:eastAsia="Arial" w:hAnsi="Arial" w:cs="Arial"/>
                <w:color w:val="000000"/>
                <w:sz w:val="24"/>
                <w:szCs w:val="24"/>
              </w:rPr>
            </w:pPr>
            <w:r>
              <w:rPr>
                <w:rFonts w:ascii="Arial" w:eastAsia="Arial" w:hAnsi="Arial" w:cs="Arial"/>
                <w:color w:val="000000"/>
                <w:sz w:val="24"/>
                <w:szCs w:val="24"/>
              </w:rPr>
              <w:t>% of value</w:t>
            </w:r>
          </w:p>
        </w:tc>
      </w:tr>
      <w:tr w:rsidR="00EC09F5" w14:paraId="1C5AE9E5" w14:textId="77777777">
        <w:tc>
          <w:tcPr>
            <w:tcW w:w="2051" w:type="dxa"/>
          </w:tcPr>
          <w:p w14:paraId="2F24227A"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1</w:t>
            </w:r>
          </w:p>
        </w:tc>
        <w:tc>
          <w:tcPr>
            <w:tcW w:w="2098" w:type="dxa"/>
          </w:tcPr>
          <w:p w14:paraId="184B73D8"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Contract review point - March</w:t>
            </w:r>
          </w:p>
        </w:tc>
        <w:tc>
          <w:tcPr>
            <w:tcW w:w="2134" w:type="dxa"/>
          </w:tcPr>
          <w:p w14:paraId="21A7F0EC"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Satisfactory review of progress to date</w:t>
            </w:r>
          </w:p>
        </w:tc>
        <w:tc>
          <w:tcPr>
            <w:tcW w:w="2016" w:type="dxa"/>
          </w:tcPr>
          <w:p w14:paraId="42D26434"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30%</w:t>
            </w:r>
          </w:p>
        </w:tc>
      </w:tr>
      <w:tr w:rsidR="00EC09F5" w14:paraId="773FCEA6" w14:textId="77777777">
        <w:tc>
          <w:tcPr>
            <w:tcW w:w="2051" w:type="dxa"/>
          </w:tcPr>
          <w:p w14:paraId="66CBC936"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2</w:t>
            </w:r>
          </w:p>
        </w:tc>
        <w:tc>
          <w:tcPr>
            <w:tcW w:w="2098" w:type="dxa"/>
          </w:tcPr>
          <w:p w14:paraId="32F30059"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4</w:t>
            </w:r>
          </w:p>
        </w:tc>
        <w:tc>
          <w:tcPr>
            <w:tcW w:w="2134" w:type="dxa"/>
          </w:tcPr>
          <w:p w14:paraId="2F61271B"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Interim findings presented</w:t>
            </w:r>
          </w:p>
        </w:tc>
        <w:tc>
          <w:tcPr>
            <w:tcW w:w="2016" w:type="dxa"/>
          </w:tcPr>
          <w:p w14:paraId="3D26094E"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30%</w:t>
            </w:r>
          </w:p>
        </w:tc>
      </w:tr>
      <w:tr w:rsidR="00EC09F5" w14:paraId="65AA6086" w14:textId="77777777">
        <w:tc>
          <w:tcPr>
            <w:tcW w:w="2051" w:type="dxa"/>
          </w:tcPr>
          <w:p w14:paraId="65E7A3EC"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3</w:t>
            </w:r>
          </w:p>
        </w:tc>
        <w:tc>
          <w:tcPr>
            <w:tcW w:w="2098" w:type="dxa"/>
          </w:tcPr>
          <w:p w14:paraId="02888B0D"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6</w:t>
            </w:r>
          </w:p>
        </w:tc>
        <w:tc>
          <w:tcPr>
            <w:tcW w:w="2134" w:type="dxa"/>
          </w:tcPr>
          <w:p w14:paraId="4B4B1DEE"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Final report (signed off by Authority)</w:t>
            </w:r>
          </w:p>
        </w:tc>
        <w:tc>
          <w:tcPr>
            <w:tcW w:w="2016" w:type="dxa"/>
          </w:tcPr>
          <w:p w14:paraId="1BC813C0" w14:textId="77777777" w:rsidR="00EC09F5" w:rsidRDefault="00035912">
            <w:pPr>
              <w:pStyle w:val="Heading2"/>
              <w:keepNext w:val="0"/>
              <w:keepLines w:val="0"/>
              <w:spacing w:before="0" w:after="240" w:line="240" w:lineRule="auto"/>
              <w:ind w:left="720"/>
              <w:jc w:val="left"/>
              <w:outlineLvl w:val="1"/>
              <w:rPr>
                <w:rFonts w:ascii="Arial" w:eastAsia="Arial" w:hAnsi="Arial" w:cs="Arial"/>
                <w:color w:val="000000"/>
                <w:sz w:val="24"/>
                <w:szCs w:val="24"/>
              </w:rPr>
            </w:pPr>
            <w:r>
              <w:rPr>
                <w:rFonts w:ascii="Arial" w:eastAsia="Arial" w:hAnsi="Arial" w:cs="Arial"/>
                <w:color w:val="000000"/>
                <w:sz w:val="24"/>
                <w:szCs w:val="24"/>
              </w:rPr>
              <w:t>40%</w:t>
            </w:r>
          </w:p>
        </w:tc>
      </w:tr>
    </w:tbl>
    <w:p w14:paraId="5445E239" w14:textId="77777777" w:rsidR="00EC09F5" w:rsidRDefault="00EC09F5">
      <w:pPr>
        <w:pStyle w:val="Heading2"/>
        <w:keepNext w:val="0"/>
        <w:keepLines w:val="0"/>
        <w:spacing w:before="0" w:after="240" w:line="240" w:lineRule="auto"/>
        <w:ind w:left="720"/>
        <w:jc w:val="both"/>
        <w:rPr>
          <w:rFonts w:ascii="Arial" w:eastAsia="Arial" w:hAnsi="Arial" w:cs="Arial"/>
          <w:b w:val="0"/>
          <w:color w:val="000000"/>
          <w:sz w:val="24"/>
          <w:szCs w:val="24"/>
        </w:rPr>
      </w:pPr>
    </w:p>
    <w:p w14:paraId="180493F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highlight w:val="white"/>
        </w:rPr>
        <w:t xml:space="preserve">Payment can only be made following satisfactory delivery of pre-agreed certified products and deliverables. </w:t>
      </w:r>
    </w:p>
    <w:p w14:paraId="02ADAD8C"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highlight w:val="white"/>
        </w:rPr>
        <w:t xml:space="preserve">Before payment can be considered, each invoice must include a detailed elemental breakdown of work completed and the associated costs. </w:t>
      </w:r>
    </w:p>
    <w:p w14:paraId="5BE79186"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All invoice</w:t>
      </w:r>
      <w:r>
        <w:rPr>
          <w:rFonts w:ascii="Arial" w:eastAsia="Arial" w:hAnsi="Arial" w:cs="Arial"/>
          <w:b w:val="0"/>
          <w:color w:val="000000"/>
          <w:sz w:val="24"/>
          <w:szCs w:val="24"/>
        </w:rPr>
        <w:t xml:space="preserve">s should be sent directly to Accounts Payable at SSCL. Please send all electronic invoices to our shared service provider at </w:t>
      </w:r>
      <w:hyperlink r:id="rId15">
        <w:r>
          <w:rPr>
            <w:rFonts w:ascii="Arial" w:eastAsia="Arial" w:hAnsi="Arial" w:cs="Arial"/>
            <w:b w:val="0"/>
            <w:color w:val="0000FF"/>
            <w:sz w:val="24"/>
            <w:szCs w:val="24"/>
            <w:u w:val="single"/>
          </w:rPr>
          <w:t>accounts-payable.cab@sscl.gse.gov.uk</w:t>
        </w:r>
      </w:hyperlink>
      <w:r>
        <w:rPr>
          <w:rFonts w:ascii="Arial" w:eastAsia="Arial" w:hAnsi="Arial" w:cs="Arial"/>
          <w:b w:val="0"/>
          <w:color w:val="000000"/>
          <w:sz w:val="24"/>
          <w:szCs w:val="24"/>
        </w:rPr>
        <w:t xml:space="preserve"> and copied to the Authority’s p</w:t>
      </w:r>
      <w:r>
        <w:rPr>
          <w:rFonts w:ascii="Arial" w:eastAsia="Arial" w:hAnsi="Arial" w:cs="Arial"/>
          <w:b w:val="0"/>
          <w:color w:val="000000"/>
          <w:sz w:val="24"/>
          <w:szCs w:val="24"/>
        </w:rPr>
        <w:t xml:space="preserve">roject manager James Probert </w:t>
      </w:r>
      <w:hyperlink r:id="rId16">
        <w:r>
          <w:rPr>
            <w:rFonts w:ascii="Arial" w:eastAsia="Arial" w:hAnsi="Arial" w:cs="Arial"/>
            <w:b w:val="0"/>
            <w:color w:val="0000FF"/>
            <w:sz w:val="24"/>
            <w:szCs w:val="24"/>
            <w:u w:val="single"/>
          </w:rPr>
          <w:t>james.probert@cabinetoffice.gov.uk</w:t>
        </w:r>
      </w:hyperlink>
      <w:r>
        <w:rPr>
          <w:rFonts w:ascii="Arial" w:eastAsia="Arial" w:hAnsi="Arial" w:cs="Arial"/>
          <w:b w:val="0"/>
          <w:color w:val="000000"/>
          <w:sz w:val="24"/>
          <w:szCs w:val="24"/>
        </w:rPr>
        <w:t xml:space="preserve">   </w:t>
      </w:r>
    </w:p>
    <w:p w14:paraId="5DC6AE54"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Contracting Authority purchase order numbers must be clearly stated on all invoices. Any supplier invoices received without a va</w:t>
      </w:r>
      <w:r>
        <w:rPr>
          <w:rFonts w:ascii="Arial" w:eastAsia="Arial" w:hAnsi="Arial" w:cs="Arial"/>
          <w:b w:val="0"/>
          <w:color w:val="000000"/>
          <w:sz w:val="24"/>
          <w:szCs w:val="24"/>
        </w:rPr>
        <w:t>lid purchase order number will not be paid and will be sent back.</w:t>
      </w:r>
    </w:p>
    <w:p w14:paraId="2A1AA588"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highlight w:val="white"/>
        </w:rPr>
        <w:t>Invoices should be submitted to:</w:t>
      </w:r>
    </w:p>
    <w:p w14:paraId="5B4D2427" w14:textId="77777777" w:rsidR="00EC09F5" w:rsidRDefault="00035912">
      <w:pPr>
        <w:pStyle w:val="Heading3"/>
        <w:keepNext w:val="0"/>
        <w:keepLines w:val="0"/>
        <w:spacing w:before="0" w:after="0" w:line="240" w:lineRule="auto"/>
        <w:ind w:left="720" w:firstLine="720"/>
        <w:jc w:val="both"/>
        <w:rPr>
          <w:rFonts w:ascii="Arial" w:eastAsia="Arial" w:hAnsi="Arial" w:cs="Arial"/>
          <w:b w:val="0"/>
          <w:sz w:val="24"/>
          <w:szCs w:val="24"/>
        </w:rPr>
      </w:pPr>
      <w:r>
        <w:rPr>
          <w:rFonts w:ascii="Arial" w:eastAsia="Arial" w:hAnsi="Arial" w:cs="Arial"/>
          <w:b w:val="0"/>
          <w:sz w:val="24"/>
          <w:szCs w:val="24"/>
        </w:rPr>
        <w:t xml:space="preserve">Shared Services Connected Limited, </w:t>
      </w:r>
    </w:p>
    <w:p w14:paraId="3970CC87" w14:textId="77777777" w:rsidR="00EC09F5" w:rsidRDefault="00035912">
      <w:pPr>
        <w:pStyle w:val="Heading3"/>
        <w:keepNext w:val="0"/>
        <w:keepLines w:val="0"/>
        <w:spacing w:before="0" w:after="0" w:line="240" w:lineRule="auto"/>
        <w:ind w:left="720" w:firstLine="720"/>
        <w:jc w:val="both"/>
        <w:rPr>
          <w:rFonts w:ascii="Arial" w:eastAsia="Arial" w:hAnsi="Arial" w:cs="Arial"/>
          <w:b w:val="0"/>
          <w:sz w:val="24"/>
          <w:szCs w:val="24"/>
        </w:rPr>
      </w:pPr>
      <w:r>
        <w:rPr>
          <w:rFonts w:ascii="Arial" w:eastAsia="Arial" w:hAnsi="Arial" w:cs="Arial"/>
          <w:b w:val="0"/>
          <w:sz w:val="24"/>
          <w:szCs w:val="24"/>
        </w:rPr>
        <w:t xml:space="preserve">CAB Procure to Pay, </w:t>
      </w:r>
    </w:p>
    <w:p w14:paraId="37632126" w14:textId="77777777" w:rsidR="00EC09F5" w:rsidRDefault="00035912">
      <w:pPr>
        <w:pStyle w:val="Heading3"/>
        <w:keepNext w:val="0"/>
        <w:keepLines w:val="0"/>
        <w:spacing w:before="0" w:after="0" w:line="240" w:lineRule="auto"/>
        <w:ind w:left="720" w:firstLine="720"/>
        <w:jc w:val="both"/>
        <w:rPr>
          <w:rFonts w:ascii="Arial" w:eastAsia="Arial" w:hAnsi="Arial" w:cs="Arial"/>
          <w:b w:val="0"/>
          <w:sz w:val="24"/>
          <w:szCs w:val="24"/>
        </w:rPr>
      </w:pPr>
      <w:r>
        <w:rPr>
          <w:rFonts w:ascii="Arial" w:eastAsia="Arial" w:hAnsi="Arial" w:cs="Arial"/>
          <w:b w:val="0"/>
          <w:sz w:val="24"/>
          <w:szCs w:val="24"/>
        </w:rPr>
        <w:t xml:space="preserve">PO Box 405, </w:t>
      </w:r>
    </w:p>
    <w:p w14:paraId="70FB7AEE" w14:textId="77777777" w:rsidR="00EC09F5" w:rsidRDefault="00035912">
      <w:pPr>
        <w:pStyle w:val="Heading3"/>
        <w:keepNext w:val="0"/>
        <w:keepLines w:val="0"/>
        <w:spacing w:before="0" w:after="0" w:line="240" w:lineRule="auto"/>
        <w:ind w:left="720" w:firstLine="720"/>
        <w:jc w:val="both"/>
        <w:rPr>
          <w:rFonts w:ascii="Arial" w:eastAsia="Arial" w:hAnsi="Arial" w:cs="Arial"/>
          <w:b w:val="0"/>
          <w:sz w:val="24"/>
          <w:szCs w:val="24"/>
        </w:rPr>
      </w:pPr>
      <w:r>
        <w:rPr>
          <w:rFonts w:ascii="Arial" w:eastAsia="Arial" w:hAnsi="Arial" w:cs="Arial"/>
          <w:b w:val="0"/>
          <w:sz w:val="24"/>
          <w:szCs w:val="24"/>
        </w:rPr>
        <w:t xml:space="preserve">Newport, </w:t>
      </w:r>
    </w:p>
    <w:p w14:paraId="7AA7EB47" w14:textId="77777777" w:rsidR="00EC09F5" w:rsidRDefault="00035912">
      <w:pPr>
        <w:pStyle w:val="Heading3"/>
        <w:keepNext w:val="0"/>
        <w:keepLines w:val="0"/>
        <w:spacing w:before="0" w:after="240" w:line="240" w:lineRule="auto"/>
        <w:ind w:left="720" w:firstLine="720"/>
        <w:jc w:val="both"/>
        <w:rPr>
          <w:rFonts w:ascii="Arial" w:eastAsia="Arial" w:hAnsi="Arial" w:cs="Arial"/>
          <w:b w:val="0"/>
          <w:sz w:val="24"/>
          <w:szCs w:val="24"/>
        </w:rPr>
      </w:pPr>
      <w:r>
        <w:rPr>
          <w:rFonts w:ascii="Arial" w:eastAsia="Arial" w:hAnsi="Arial" w:cs="Arial"/>
          <w:b w:val="0"/>
          <w:sz w:val="24"/>
          <w:szCs w:val="24"/>
        </w:rPr>
        <w:lastRenderedPageBreak/>
        <w:t>NP10 8FZ</w:t>
      </w:r>
    </w:p>
    <w:p w14:paraId="16F9F583" w14:textId="77777777" w:rsidR="00EC09F5" w:rsidRDefault="00035912">
      <w:pPr>
        <w:pStyle w:val="Heading1"/>
        <w:keepLines w:val="0"/>
        <w:numPr>
          <w:ilvl w:val="0"/>
          <w:numId w:val="6"/>
        </w:numPr>
        <w:spacing w:before="0" w:after="120" w:line="240" w:lineRule="auto"/>
        <w:ind w:left="709"/>
        <w:jc w:val="both"/>
        <w:rPr>
          <w:rFonts w:ascii="Arial" w:eastAsia="Arial" w:hAnsi="Arial" w:cs="Arial"/>
          <w:sz w:val="32"/>
          <w:szCs w:val="32"/>
        </w:rPr>
      </w:pPr>
      <w:bookmarkStart w:id="34" w:name="_heading=h.ihv636" w:colFirst="0" w:colLast="0"/>
      <w:bookmarkEnd w:id="34"/>
      <w:r>
        <w:rPr>
          <w:rFonts w:ascii="Arial" w:eastAsia="Arial" w:hAnsi="Arial" w:cs="Arial"/>
          <w:smallCaps/>
          <w:color w:val="000000"/>
          <w:sz w:val="32"/>
          <w:szCs w:val="32"/>
        </w:rPr>
        <w:t xml:space="preserve">CONTRACT MANAGEMENT </w:t>
      </w:r>
    </w:p>
    <w:p w14:paraId="0E4C59A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The Supplier will be required to implement a structured approach to risk management, outlining the key risks identified and how these will be managed.   This is to include risks relating to project delivery, in addition to presentational risks due to the s</w:t>
      </w:r>
      <w:r>
        <w:rPr>
          <w:rFonts w:ascii="Arial" w:eastAsia="Arial" w:hAnsi="Arial" w:cs="Arial"/>
          <w:b w:val="0"/>
          <w:color w:val="000000"/>
          <w:sz w:val="24"/>
          <w:szCs w:val="24"/>
        </w:rPr>
        <w:t>ensitive nature of this research.</w:t>
      </w:r>
    </w:p>
    <w:p w14:paraId="221895A4"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Potential Suppliers should outline full details of this plan as part of their response, including the course of action to be followed should risks to project delivery arise, e.g. in the case of low response rates and/or sl</w:t>
      </w:r>
      <w:r>
        <w:rPr>
          <w:rFonts w:ascii="Arial" w:eastAsia="Arial" w:hAnsi="Arial" w:cs="Arial"/>
          <w:b w:val="0"/>
          <w:color w:val="000000"/>
          <w:sz w:val="24"/>
          <w:szCs w:val="24"/>
        </w:rPr>
        <w:t>ippage.</w:t>
      </w:r>
    </w:p>
    <w:p w14:paraId="243187FA"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As part of the weekly progress reports outlined above, the Supplier should report on performance against relevant milestones and include an update on risks identified and how these will be managed.</w:t>
      </w:r>
    </w:p>
    <w:p w14:paraId="1B3A3BAB" w14:textId="77777777" w:rsidR="00EC09F5" w:rsidRDefault="00035912">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b w:val="0"/>
          <w:color w:val="000000"/>
          <w:sz w:val="24"/>
          <w:szCs w:val="24"/>
        </w:rPr>
        <w:t xml:space="preserve">The Contracting Authority will assess performance </w:t>
      </w:r>
      <w:r>
        <w:rPr>
          <w:rFonts w:ascii="Arial" w:eastAsia="Arial" w:hAnsi="Arial" w:cs="Arial"/>
          <w:b w:val="0"/>
          <w:color w:val="000000"/>
          <w:sz w:val="24"/>
          <w:szCs w:val="24"/>
        </w:rPr>
        <w:t>based on these reports and will require additional meetings with the Supplier if milestones are not met, either in terms of timings or quality.</w:t>
      </w:r>
    </w:p>
    <w:p w14:paraId="240FCB4A" w14:textId="77777777" w:rsidR="00EC09F5" w:rsidRDefault="00035912">
      <w:pPr>
        <w:pStyle w:val="Heading2"/>
        <w:keepNext w:val="0"/>
        <w:keepLines w:val="0"/>
        <w:numPr>
          <w:ilvl w:val="1"/>
          <w:numId w:val="6"/>
        </w:numPr>
        <w:spacing w:before="0" w:after="120" w:line="240" w:lineRule="auto"/>
        <w:ind w:left="709"/>
        <w:jc w:val="both"/>
        <w:rPr>
          <w:rFonts w:ascii="Arial" w:eastAsia="Arial" w:hAnsi="Arial" w:cs="Arial"/>
          <w:sz w:val="24"/>
          <w:szCs w:val="24"/>
        </w:rPr>
      </w:pPr>
      <w:r>
        <w:rPr>
          <w:rFonts w:ascii="Arial" w:eastAsia="Arial" w:hAnsi="Arial" w:cs="Arial"/>
          <w:b w:val="0"/>
          <w:color w:val="000000"/>
          <w:sz w:val="24"/>
          <w:szCs w:val="24"/>
        </w:rPr>
        <w:t>Attendance at Contract Review meetings shall be at the Supplier’s own expense.</w:t>
      </w:r>
    </w:p>
    <w:p w14:paraId="0CF6AA41" w14:textId="77777777" w:rsidR="00EC09F5" w:rsidRDefault="00035912">
      <w:pPr>
        <w:pStyle w:val="Heading1"/>
        <w:keepLines w:val="0"/>
        <w:numPr>
          <w:ilvl w:val="0"/>
          <w:numId w:val="6"/>
        </w:numPr>
        <w:spacing w:before="0" w:after="120" w:line="240" w:lineRule="auto"/>
        <w:jc w:val="both"/>
        <w:rPr>
          <w:rFonts w:ascii="Arial" w:eastAsia="Arial" w:hAnsi="Arial" w:cs="Arial"/>
          <w:sz w:val="32"/>
          <w:szCs w:val="32"/>
        </w:rPr>
      </w:pPr>
      <w:bookmarkStart w:id="35" w:name="_heading=h.32hioqz" w:colFirst="0" w:colLast="0"/>
      <w:bookmarkEnd w:id="35"/>
      <w:r>
        <w:rPr>
          <w:rFonts w:ascii="Arial" w:eastAsia="Arial" w:hAnsi="Arial" w:cs="Arial"/>
          <w:smallCaps/>
          <w:color w:val="000000"/>
          <w:sz w:val="32"/>
          <w:szCs w:val="32"/>
        </w:rPr>
        <w:t xml:space="preserve">Location </w:t>
      </w:r>
    </w:p>
    <w:p w14:paraId="6DEE4751" w14:textId="77777777" w:rsidR="00EC09F5" w:rsidRDefault="00035912">
      <w:pPr>
        <w:pStyle w:val="Heading2"/>
        <w:keepNext w:val="0"/>
        <w:keepLines w:val="0"/>
        <w:numPr>
          <w:ilvl w:val="1"/>
          <w:numId w:val="6"/>
        </w:numPr>
        <w:spacing w:before="0" w:after="120" w:line="240" w:lineRule="auto"/>
        <w:ind w:left="709"/>
        <w:jc w:val="both"/>
        <w:rPr>
          <w:rFonts w:ascii="Arial" w:eastAsia="Arial" w:hAnsi="Arial" w:cs="Arial"/>
          <w:sz w:val="24"/>
          <w:szCs w:val="24"/>
        </w:rPr>
      </w:pPr>
      <w:r>
        <w:rPr>
          <w:rFonts w:ascii="Arial" w:eastAsia="Arial" w:hAnsi="Arial" w:cs="Arial"/>
          <w:b w:val="0"/>
          <w:color w:val="000000"/>
          <w:sz w:val="24"/>
          <w:szCs w:val="24"/>
        </w:rPr>
        <w:t>The location of the Services will be carried out at the Supplier’s address.</w:t>
      </w:r>
    </w:p>
    <w:p w14:paraId="6932E81B" w14:textId="77777777" w:rsidR="00EC09F5" w:rsidRDefault="00EC09F5">
      <w:pPr>
        <w:pStyle w:val="Heading2"/>
        <w:keepNext w:val="0"/>
        <w:keepLines w:val="0"/>
        <w:spacing w:before="0" w:after="120" w:line="240" w:lineRule="auto"/>
        <w:ind w:left="720"/>
        <w:jc w:val="both"/>
        <w:rPr>
          <w:rFonts w:ascii="Arial" w:eastAsia="Arial" w:hAnsi="Arial" w:cs="Arial"/>
          <w:b w:val="0"/>
          <w:color w:val="000000"/>
          <w:sz w:val="22"/>
          <w:szCs w:val="22"/>
          <w:highlight w:val="yellow"/>
        </w:rPr>
      </w:pPr>
    </w:p>
    <w:p w14:paraId="60FF5369" w14:textId="77777777" w:rsidR="00EC09F5" w:rsidRDefault="00EC09F5">
      <w:pPr>
        <w:pStyle w:val="Heading1"/>
        <w:keepLines w:val="0"/>
        <w:spacing w:before="0" w:after="120" w:line="240" w:lineRule="auto"/>
        <w:ind w:left="720"/>
        <w:jc w:val="both"/>
        <w:rPr>
          <w:rFonts w:ascii="Arial" w:eastAsia="Arial" w:hAnsi="Arial" w:cs="Arial"/>
          <w:smallCaps/>
          <w:color w:val="000000"/>
          <w:sz w:val="22"/>
          <w:szCs w:val="22"/>
        </w:rPr>
      </w:pPr>
    </w:p>
    <w:p w14:paraId="3E2FC9CC" w14:textId="77777777" w:rsidR="00EC09F5" w:rsidRDefault="00EC09F5">
      <w:pPr>
        <w:pStyle w:val="Heading2"/>
        <w:keepNext w:val="0"/>
        <w:keepLines w:val="0"/>
        <w:spacing w:before="0" w:after="120" w:line="240" w:lineRule="auto"/>
        <w:ind w:left="720"/>
        <w:jc w:val="both"/>
        <w:rPr>
          <w:rFonts w:ascii="Arial" w:eastAsia="Arial" w:hAnsi="Arial" w:cs="Arial"/>
          <w:b w:val="0"/>
          <w:color w:val="000000"/>
          <w:sz w:val="22"/>
          <w:szCs w:val="22"/>
        </w:rPr>
      </w:pPr>
    </w:p>
    <w:p w14:paraId="4A5D6B1B" w14:textId="77777777" w:rsidR="00EC09F5" w:rsidRDefault="00EC09F5">
      <w:pPr>
        <w:pStyle w:val="Heading1"/>
        <w:keepLines w:val="0"/>
        <w:spacing w:before="0" w:after="240" w:line="240" w:lineRule="auto"/>
        <w:ind w:left="720"/>
        <w:jc w:val="both"/>
        <w:rPr>
          <w:rFonts w:ascii="Arial" w:eastAsia="Arial" w:hAnsi="Arial" w:cs="Arial"/>
          <w:smallCaps/>
          <w:color w:val="000000"/>
          <w:sz w:val="22"/>
          <w:szCs w:val="22"/>
        </w:rPr>
      </w:pPr>
    </w:p>
    <w:p w14:paraId="7CE2B609" w14:textId="77777777" w:rsidR="00EC09F5" w:rsidRDefault="00EC09F5">
      <w:pPr>
        <w:tabs>
          <w:tab w:val="left" w:pos="1392"/>
        </w:tabs>
        <w:spacing w:after="0" w:line="240" w:lineRule="auto"/>
        <w:rPr>
          <w:rFonts w:ascii="Arial" w:eastAsia="Arial" w:hAnsi="Arial" w:cs="Arial"/>
        </w:rPr>
      </w:pPr>
    </w:p>
    <w:p w14:paraId="206E5F33" w14:textId="77777777" w:rsidR="00EC09F5" w:rsidRDefault="00EC09F5">
      <w:pPr>
        <w:pBdr>
          <w:top w:val="nil"/>
          <w:left w:val="nil"/>
          <w:bottom w:val="nil"/>
          <w:right w:val="nil"/>
          <w:between w:val="nil"/>
        </w:pBdr>
        <w:spacing w:before="120" w:after="120" w:line="240" w:lineRule="auto"/>
        <w:ind w:left="936" w:hanging="576"/>
        <w:rPr>
          <w:rFonts w:ascii="Arial" w:eastAsia="Arial" w:hAnsi="Arial" w:cs="Arial"/>
          <w:b/>
          <w:sz w:val="24"/>
          <w:szCs w:val="24"/>
          <w:highlight w:val="yellow"/>
        </w:rPr>
      </w:pPr>
    </w:p>
    <w:p w14:paraId="4546D89B" w14:textId="77777777" w:rsidR="00EC09F5" w:rsidRDefault="00EC09F5">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color w:val="000000"/>
          <w:sz w:val="24"/>
          <w:szCs w:val="24"/>
        </w:rPr>
      </w:pPr>
    </w:p>
    <w:p w14:paraId="49F08B2C" w14:textId="77777777" w:rsidR="00EC09F5" w:rsidRDefault="00EC09F5"/>
    <w:p w14:paraId="2C180129" w14:textId="77777777" w:rsidR="00EC09F5" w:rsidRDefault="00EC09F5"/>
    <w:p w14:paraId="2FF14422" w14:textId="77777777" w:rsidR="00EC09F5" w:rsidRDefault="00EC09F5"/>
    <w:p w14:paraId="55CF95B5" w14:textId="77777777" w:rsidR="00EC09F5" w:rsidRDefault="00EC09F5"/>
    <w:p w14:paraId="17AF13ED" w14:textId="77777777" w:rsidR="00EC09F5" w:rsidRDefault="00EC09F5"/>
    <w:p w14:paraId="329C3667" w14:textId="77777777" w:rsidR="00EC09F5" w:rsidRDefault="00EC09F5"/>
    <w:p w14:paraId="2DDFD5F3" w14:textId="77777777" w:rsidR="00EC09F5" w:rsidRDefault="00EC09F5"/>
    <w:p w14:paraId="7F1F9E85" w14:textId="77777777" w:rsidR="00EC09F5" w:rsidRDefault="00EC09F5"/>
    <w:p w14:paraId="7B114CF3" w14:textId="77777777" w:rsidR="00EC09F5" w:rsidRDefault="00EC09F5"/>
    <w:p w14:paraId="61C1F133" w14:textId="77777777" w:rsidR="00EC09F5" w:rsidRDefault="00EC09F5"/>
    <w:p w14:paraId="684F1328" w14:textId="77777777" w:rsidR="00EC09F5" w:rsidRDefault="00EC09F5"/>
    <w:p w14:paraId="3C9ED95F" w14:textId="77777777" w:rsidR="00EC09F5" w:rsidRDefault="00EC09F5"/>
    <w:p w14:paraId="3505E44F" w14:textId="77777777" w:rsidR="00EC09F5" w:rsidRDefault="00EC09F5"/>
    <w:p w14:paraId="3E147986" w14:textId="77777777" w:rsidR="00EC09F5" w:rsidRDefault="00EC09F5"/>
    <w:p w14:paraId="3286E6D1" w14:textId="77777777" w:rsidR="00EC09F5" w:rsidRDefault="00EC09F5"/>
    <w:p w14:paraId="7C51B14B" w14:textId="77777777" w:rsidR="00EC09F5" w:rsidRDefault="00035912">
      <w:pPr>
        <w:tabs>
          <w:tab w:val="left" w:pos="1320"/>
        </w:tabs>
      </w:pPr>
      <w:r>
        <w:tab/>
      </w:r>
    </w:p>
    <w:p w14:paraId="650B947D" w14:textId="77777777" w:rsidR="00EC09F5" w:rsidRDefault="00EC09F5"/>
    <w:p w14:paraId="084C5E33" w14:textId="77777777" w:rsidR="00EC09F5" w:rsidRDefault="00EC09F5"/>
    <w:p w14:paraId="74C67562" w14:textId="77777777" w:rsidR="00EC09F5" w:rsidRDefault="00EC09F5"/>
    <w:p w14:paraId="7C922CE7" w14:textId="77777777" w:rsidR="00EC09F5" w:rsidRDefault="00035912">
      <w:pPr>
        <w:tabs>
          <w:tab w:val="left" w:pos="1460"/>
        </w:tabs>
      </w:pPr>
      <w:r>
        <w:tab/>
      </w:r>
    </w:p>
    <w:sectPr w:rsidR="00EC09F5">
      <w:headerReference w:type="default" r:id="rId17"/>
      <w:footerReference w:type="default" r:id="rId1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C7DC3" w14:textId="77777777" w:rsidR="00035912" w:rsidRDefault="00035912">
      <w:pPr>
        <w:spacing w:after="0" w:line="240" w:lineRule="auto"/>
      </w:pPr>
      <w:r>
        <w:separator/>
      </w:r>
    </w:p>
  </w:endnote>
  <w:endnote w:type="continuationSeparator" w:id="0">
    <w:p w14:paraId="3FCF2761" w14:textId="77777777" w:rsidR="00035912" w:rsidRDefault="00035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oto Sans Symbols">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97294" w14:textId="77777777" w:rsidR="00EC09F5" w:rsidRDefault="00EC09F5">
    <w:pPr>
      <w:tabs>
        <w:tab w:val="center" w:pos="4513"/>
        <w:tab w:val="right" w:pos="9026"/>
      </w:tabs>
      <w:spacing w:after="0"/>
      <w:rPr>
        <w:rFonts w:ascii="Arial" w:eastAsia="Arial" w:hAnsi="Arial" w:cs="Arial"/>
        <w:sz w:val="20"/>
        <w:szCs w:val="20"/>
      </w:rPr>
    </w:pPr>
  </w:p>
  <w:p w14:paraId="50FD60AC" w14:textId="77777777" w:rsidR="00EC09F5" w:rsidRDefault="00035912">
    <w:pPr>
      <w:tabs>
        <w:tab w:val="center" w:pos="4513"/>
        <w:tab w:val="right" w:pos="9026"/>
      </w:tabs>
      <w:spacing w:after="0"/>
      <w:rPr>
        <w:rFonts w:ascii="Arial" w:eastAsia="Arial" w:hAnsi="Arial" w:cs="Arial"/>
        <w:sz w:val="20"/>
        <w:szCs w:val="20"/>
      </w:rPr>
    </w:pPr>
    <w:r>
      <w:rPr>
        <w:rFonts w:ascii="Arial" w:eastAsia="Arial" w:hAnsi="Arial" w:cs="Arial"/>
        <w:sz w:val="20"/>
        <w:szCs w:val="20"/>
      </w:rPr>
      <w:t>RM6126 - Research &amp; Insights DPS</w:t>
    </w:r>
  </w:p>
  <w:p w14:paraId="23727636" w14:textId="77777777" w:rsidR="00EC09F5" w:rsidRDefault="00035912">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p>
  <w:p w14:paraId="792DB348" w14:textId="77777777" w:rsidR="00EC09F5" w:rsidRDefault="000359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B26AD" w14:textId="77777777" w:rsidR="00035912" w:rsidRDefault="00035912">
      <w:pPr>
        <w:spacing w:after="0" w:line="240" w:lineRule="auto"/>
      </w:pPr>
      <w:r>
        <w:separator/>
      </w:r>
    </w:p>
  </w:footnote>
  <w:footnote w:type="continuationSeparator" w:id="0">
    <w:p w14:paraId="129538FA" w14:textId="77777777" w:rsidR="00035912" w:rsidRDefault="000359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14300" w14:textId="77777777" w:rsidR="00EC09F5" w:rsidRDefault="000359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Schedule 20 (Order Specification)</w:t>
    </w:r>
  </w:p>
  <w:p w14:paraId="17944B11" w14:textId="77777777" w:rsidR="00EC09F5" w:rsidRDefault="000359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p>
  <w:p w14:paraId="2F108C97" w14:textId="77777777" w:rsidR="00EC09F5" w:rsidRDefault="000359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p w14:paraId="28EE4649" w14:textId="77777777" w:rsidR="00EC09F5" w:rsidRDefault="00EC09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C5A72"/>
    <w:multiLevelType w:val="multilevel"/>
    <w:tmpl w:val="474A45D2"/>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 w15:restartNumberingAfterBreak="0">
    <w:nsid w:val="03EA5119"/>
    <w:multiLevelType w:val="multilevel"/>
    <w:tmpl w:val="EFE008F0"/>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upperLetter"/>
      <w:lvlText w:val="%3."/>
      <w:lvlJc w:val="left"/>
      <w:pPr>
        <w:ind w:left="1800" w:hanging="1080"/>
      </w:pPr>
      <w:rPr>
        <w:u w:val="none"/>
      </w:rPr>
    </w:lvl>
    <w:lvl w:ilvl="3">
      <w:start w:val="1"/>
      <w:numFmt w:val="decimal"/>
      <w:lvlText w:val="%1.%2.%3.%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2" w15:restartNumberingAfterBreak="0">
    <w:nsid w:val="180B111E"/>
    <w:multiLevelType w:val="multilevel"/>
    <w:tmpl w:val="9FC01564"/>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3" w15:restartNumberingAfterBreak="0">
    <w:nsid w:val="1AA86229"/>
    <w:multiLevelType w:val="multilevel"/>
    <w:tmpl w:val="23804320"/>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upperLetter"/>
      <w:lvlText w:val="%3."/>
      <w:lvlJc w:val="left"/>
      <w:pPr>
        <w:ind w:left="1800" w:hanging="1080"/>
      </w:pPr>
      <w:rPr>
        <w:u w:val="none"/>
      </w:rPr>
    </w:lvl>
    <w:lvl w:ilvl="3">
      <w:start w:val="1"/>
      <w:numFmt w:val="decimal"/>
      <w:lvlText w:val="%1.%2.%3.%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4" w15:restartNumberingAfterBreak="0">
    <w:nsid w:val="20EB165B"/>
    <w:multiLevelType w:val="multilevel"/>
    <w:tmpl w:val="C9FA0F56"/>
    <w:lvl w:ilvl="0">
      <w:start w:val="1"/>
      <w:numFmt w:val="decimal"/>
      <w:lvlText w:val="%1."/>
      <w:lvlJc w:val="left"/>
      <w:pPr>
        <w:ind w:left="720" w:hanging="720"/>
      </w:pPr>
      <w:rPr>
        <w:u w:val="none"/>
      </w:rPr>
    </w:lvl>
    <w:lvl w:ilvl="1">
      <w:start w:val="1"/>
      <w:numFmt w:val="upperLetter"/>
      <w:lvlText w:val="%2."/>
      <w:lvlJc w:val="left"/>
      <w:pPr>
        <w:ind w:left="720" w:hanging="720"/>
      </w:pPr>
      <w:rPr>
        <w:u w:val="none"/>
      </w:rPr>
    </w:lvl>
    <w:lvl w:ilvl="2">
      <w:start w:val="1"/>
      <w:numFmt w:val="decimal"/>
      <w:lvlText w:val="%1.%2.%3"/>
      <w:lvlJc w:val="left"/>
      <w:pPr>
        <w:ind w:left="1800" w:hanging="1080"/>
      </w:pPr>
      <w:rPr>
        <w:u w:val="none"/>
      </w:rPr>
    </w:lvl>
    <w:lvl w:ilvl="3">
      <w:start w:val="1"/>
      <w:numFmt w:val="decimal"/>
      <w:lvlText w:val="%1.%2.%3.%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5" w15:restartNumberingAfterBreak="0">
    <w:nsid w:val="26316AB3"/>
    <w:multiLevelType w:val="multilevel"/>
    <w:tmpl w:val="55784D12"/>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6" w15:restartNumberingAfterBreak="0">
    <w:nsid w:val="37B429BD"/>
    <w:multiLevelType w:val="multilevel"/>
    <w:tmpl w:val="E3CCC068"/>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7" w15:restartNumberingAfterBreak="0">
    <w:nsid w:val="3BE20DB7"/>
    <w:multiLevelType w:val="multilevel"/>
    <w:tmpl w:val="AAC01478"/>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8" w15:restartNumberingAfterBreak="0">
    <w:nsid w:val="40BA53DE"/>
    <w:multiLevelType w:val="multilevel"/>
    <w:tmpl w:val="4A66A4E2"/>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9" w15:restartNumberingAfterBreak="0">
    <w:nsid w:val="44744FFB"/>
    <w:multiLevelType w:val="multilevel"/>
    <w:tmpl w:val="4B86D178"/>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0" w15:restartNumberingAfterBreak="0">
    <w:nsid w:val="4E276FED"/>
    <w:multiLevelType w:val="multilevel"/>
    <w:tmpl w:val="578E7926"/>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1" w15:restartNumberingAfterBreak="0">
    <w:nsid w:val="5EF77212"/>
    <w:multiLevelType w:val="multilevel"/>
    <w:tmpl w:val="CA20CD60"/>
    <w:lvl w:ilvl="0">
      <w:start w:val="1"/>
      <w:numFmt w:val="decimal"/>
      <w:pStyle w:val="GPsDefinition"/>
      <w:lvlText w:val="%1."/>
      <w:lvlJc w:val="left"/>
      <w:pPr>
        <w:ind w:left="720" w:hanging="720"/>
      </w:pPr>
      <w:rPr>
        <w:u w:val="none"/>
      </w:rPr>
    </w:lvl>
    <w:lvl w:ilvl="1">
      <w:start w:val="1"/>
      <w:numFmt w:val="decimal"/>
      <w:pStyle w:val="GPSDefinitionL2"/>
      <w:lvlText w:val="%1.%2"/>
      <w:lvlJc w:val="left"/>
      <w:pPr>
        <w:ind w:left="720" w:hanging="720"/>
      </w:pPr>
      <w:rPr>
        <w:u w:val="none"/>
      </w:rPr>
    </w:lvl>
    <w:lvl w:ilvl="2">
      <w:start w:val="1"/>
      <w:numFmt w:val="bullet"/>
      <w:pStyle w:val="GPSDefinitionL3"/>
      <w:lvlText w:val="●"/>
      <w:lvlJc w:val="left"/>
      <w:pPr>
        <w:ind w:left="1800" w:hanging="1080"/>
      </w:pPr>
      <w:rPr>
        <w:u w:val="none"/>
      </w:rPr>
    </w:lvl>
    <w:lvl w:ilvl="3">
      <w:start w:val="1"/>
      <w:numFmt w:val="decimal"/>
      <w:pStyle w:val="GPSDefinitionL4"/>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2" w15:restartNumberingAfterBreak="0">
    <w:nsid w:val="63D6437F"/>
    <w:multiLevelType w:val="multilevel"/>
    <w:tmpl w:val="3C607D26"/>
    <w:lvl w:ilvl="0">
      <w:start w:val="1"/>
      <w:numFmt w:val="decimal"/>
      <w:pStyle w:val="GPSL1CLAUSEHEADING"/>
      <w:lvlText w:val="%1."/>
      <w:lvlJc w:val="left"/>
      <w:pPr>
        <w:ind w:left="720" w:hanging="720"/>
      </w:pPr>
      <w:rPr>
        <w:u w:val="none"/>
      </w:rPr>
    </w:lvl>
    <w:lvl w:ilvl="1">
      <w:start w:val="1"/>
      <w:numFmt w:val="upperLetter"/>
      <w:pStyle w:val="GPSL2NumberedBoldHeading"/>
      <w:lvlText w:val="%2."/>
      <w:lvlJc w:val="left"/>
      <w:pPr>
        <w:ind w:left="720" w:hanging="720"/>
      </w:pPr>
      <w:rPr>
        <w:u w:val="none"/>
      </w:rPr>
    </w:lvl>
    <w:lvl w:ilvl="2">
      <w:start w:val="1"/>
      <w:numFmt w:val="decimal"/>
      <w:pStyle w:val="GPSL3numberedclause"/>
      <w:lvlText w:val="%1.%2.%3"/>
      <w:lvlJc w:val="left"/>
      <w:pPr>
        <w:ind w:left="1800" w:hanging="1080"/>
      </w:pPr>
      <w:rPr>
        <w:u w:val="none"/>
      </w:rPr>
    </w:lvl>
    <w:lvl w:ilvl="3">
      <w:start w:val="1"/>
      <w:numFmt w:val="decimal"/>
      <w:pStyle w:val="GPSL4numberedclause"/>
      <w:lvlText w:val="%1.%2.%3.%4"/>
      <w:lvlJc w:val="left"/>
      <w:pPr>
        <w:ind w:left="2880" w:hanging="1080"/>
      </w:pPr>
      <w:rPr>
        <w:u w:val="none"/>
      </w:rPr>
    </w:lvl>
    <w:lvl w:ilvl="4">
      <w:start w:val="1"/>
      <w:numFmt w:val="lowerLetter"/>
      <w:pStyle w:val="GPSL5numberedclause"/>
      <w:lvlText w:val="(%5)"/>
      <w:lvlJc w:val="left"/>
      <w:pPr>
        <w:ind w:left="3600" w:hanging="720"/>
      </w:pPr>
      <w:rPr>
        <w:u w:val="none"/>
      </w:rPr>
    </w:lvl>
    <w:lvl w:ilvl="5">
      <w:start w:val="1"/>
      <w:numFmt w:val="lowerRoman"/>
      <w:pStyle w:val="GPSL6numbered"/>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3" w15:restartNumberingAfterBreak="0">
    <w:nsid w:val="6B643CDA"/>
    <w:multiLevelType w:val="multilevel"/>
    <w:tmpl w:val="6A360856"/>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4" w15:restartNumberingAfterBreak="0">
    <w:nsid w:val="6FD92ECE"/>
    <w:multiLevelType w:val="multilevel"/>
    <w:tmpl w:val="B6EE4268"/>
    <w:lvl w:ilvl="0">
      <w:start w:val="1"/>
      <w:numFmt w:val="decimal"/>
      <w:lvlText w:val="%1."/>
      <w:lvlJc w:val="left"/>
      <w:pPr>
        <w:ind w:left="720" w:hanging="720"/>
      </w:pPr>
      <w:rPr>
        <w:color w:val="000000"/>
        <w:u w:val="none"/>
      </w:rPr>
    </w:lvl>
    <w:lvl w:ilvl="1">
      <w:start w:val="1"/>
      <w:numFmt w:val="decimal"/>
      <w:lvlText w:val="%1.%2"/>
      <w:lvlJc w:val="left"/>
      <w:pPr>
        <w:ind w:left="720" w:hanging="720"/>
      </w:pPr>
      <w:rPr>
        <w:color w:val="000000"/>
        <w:u w:val="none"/>
      </w:rPr>
    </w:lvl>
    <w:lvl w:ilvl="2">
      <w:start w:val="1"/>
      <w:numFmt w:val="decimal"/>
      <w:lvlText w:val="%1.%2.%3"/>
      <w:lvlJc w:val="left"/>
      <w:pPr>
        <w:ind w:left="1800" w:hanging="1080"/>
      </w:pPr>
      <w:rPr>
        <w:u w:val="none"/>
      </w:rPr>
    </w:lvl>
    <w:lvl w:ilvl="3">
      <w:start w:val="1"/>
      <w:numFmt w:val="decimal"/>
      <w:lvlText w:val="%1.%2.%3.%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5" w15:restartNumberingAfterBreak="0">
    <w:nsid w:val="71A05D02"/>
    <w:multiLevelType w:val="multilevel"/>
    <w:tmpl w:val="BD921C62"/>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6" w15:restartNumberingAfterBreak="0">
    <w:nsid w:val="7658729E"/>
    <w:multiLevelType w:val="multilevel"/>
    <w:tmpl w:val="CC961D5E"/>
    <w:lvl w:ilvl="0">
      <w:start w:val="1"/>
      <w:numFmt w:val="decimal"/>
      <w:pStyle w:val="BodyTextIndent"/>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7" w15:restartNumberingAfterBreak="0">
    <w:nsid w:val="7A1A7CF6"/>
    <w:multiLevelType w:val="multilevel"/>
    <w:tmpl w:val="548AA106"/>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8" w15:restartNumberingAfterBreak="0">
    <w:nsid w:val="7B122B42"/>
    <w:multiLevelType w:val="multilevel"/>
    <w:tmpl w:val="6B1467EE"/>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num w:numId="1">
    <w:abstractNumId w:val="12"/>
  </w:num>
  <w:num w:numId="2">
    <w:abstractNumId w:val="11"/>
  </w:num>
  <w:num w:numId="3">
    <w:abstractNumId w:val="9"/>
  </w:num>
  <w:num w:numId="4">
    <w:abstractNumId w:val="8"/>
  </w:num>
  <w:num w:numId="5">
    <w:abstractNumId w:val="16"/>
  </w:num>
  <w:num w:numId="6">
    <w:abstractNumId w:val="14"/>
  </w:num>
  <w:num w:numId="7">
    <w:abstractNumId w:val="15"/>
  </w:num>
  <w:num w:numId="8">
    <w:abstractNumId w:val="5"/>
  </w:num>
  <w:num w:numId="9">
    <w:abstractNumId w:val="4"/>
  </w:num>
  <w:num w:numId="10">
    <w:abstractNumId w:val="13"/>
  </w:num>
  <w:num w:numId="11">
    <w:abstractNumId w:val="0"/>
  </w:num>
  <w:num w:numId="12">
    <w:abstractNumId w:val="18"/>
  </w:num>
  <w:num w:numId="13">
    <w:abstractNumId w:val="6"/>
  </w:num>
  <w:num w:numId="14">
    <w:abstractNumId w:val="17"/>
  </w:num>
  <w:num w:numId="15">
    <w:abstractNumId w:val="1"/>
  </w:num>
  <w:num w:numId="16">
    <w:abstractNumId w:val="3"/>
  </w:num>
  <w:num w:numId="17">
    <w:abstractNumId w:val="7"/>
  </w:num>
  <w:num w:numId="18">
    <w:abstractNumId w:val="1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09F5"/>
    <w:rsid w:val="00035912"/>
    <w:rsid w:val="00D337A1"/>
    <w:rsid w:val="00EC09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34142"/>
  <w15:docId w15:val="{B095A99E-DD85-4979-B060-8ECC6655F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8">
    <w:basedOn w:val="TableNormal"/>
    <w:tblPr>
      <w:tblStyleRowBandSize w:val="1"/>
      <w:tblStyleColBandSize w:val="1"/>
      <w:tblCellMar>
        <w:top w:w="15" w:type="dxa"/>
        <w:left w:w="15" w:type="dxa"/>
        <w:bottom w:w="15" w:type="dxa"/>
        <w:right w:w="15"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pPr>
      <w:jc w:val="both"/>
    </w:pPr>
    <w:rPr>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organisations/cabinet-office" TargetMode="External"/><Relationship Id="rId13" Type="http://schemas.openxmlformats.org/officeDocument/2006/relationships/hyperlink" Target="https://www.ethnicity-facts-figures.service.gov.uk/style-guide/writing-about-ethnicity/"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hnicity-facts-figures.service.gov.uk/style-guide/writing-about-ethnicity/"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james.probert@cabinetoff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the-aqua-book-guidance-on-producing-quality-analysis-for-government" TargetMode="External"/><Relationship Id="rId5" Type="http://schemas.openxmlformats.org/officeDocument/2006/relationships/webSettings" Target="webSettings.xml"/><Relationship Id="rId15" Type="http://schemas.openxmlformats.org/officeDocument/2006/relationships/hyperlink" Target="mailto:accounts-payable.cab@sscl.gse.gov.uk" TargetMode="External"/><Relationship Id="rId10" Type="http://schemas.openxmlformats.org/officeDocument/2006/relationships/hyperlink" Target="https://www.ethnicity-facts-figures.service.gov.uk/style-guide/writing-about-ethnicit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uk/government/publications/the-aqua-book-guidance-on-producing-quality-analysis-for-government" TargetMode="External"/><Relationship Id="rId14" Type="http://schemas.openxmlformats.org/officeDocument/2006/relationships/hyperlink" Target="https://www.gov.uk/government/publications/the-aqua-book-guidance-on-producing-quality-analysis-for-govern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ICoCLcvVXCv+IrOYRYey9Vap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4AHIhMTFHTUxYdGJhdjNFUFByczVHWnU3bnBVWG40QlBjdUp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8350</Words>
  <Characters>47598</Characters>
  <Application>Microsoft Office Word</Application>
  <DocSecurity>0</DocSecurity>
  <Lines>396</Lines>
  <Paragraphs>111</Paragraphs>
  <ScaleCrop>false</ScaleCrop>
  <Company/>
  <LinksUpToDate>false</LinksUpToDate>
  <CharactersWithSpaces>55837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James Probert</cp:lastModifiedBy>
  <cp:revision>2</cp:revision>
  <dcterms:created xsi:type="dcterms:W3CDTF">2019-04-10T22:54:00Z</dcterms:created>
  <dcterms:modified xsi:type="dcterms:W3CDTF">2025-02-13T12:42:00Z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